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1B8E" w14:textId="77777777" w:rsidR="003D2D6A" w:rsidRPr="003D2D6A" w:rsidRDefault="003D2D6A" w:rsidP="003D2D6A">
      <w:pPr>
        <w:rPr>
          <w:b/>
          <w:bCs/>
        </w:rPr>
      </w:pPr>
      <w:r w:rsidRPr="003D2D6A">
        <w:rPr>
          <w:b/>
          <w:bCs/>
        </w:rPr>
        <w:t>Study Protocol: Phase 2 Clinical Trial for Systemic Lupus Erythematosus (SLE)</w:t>
      </w:r>
    </w:p>
    <w:p w14:paraId="22441D62" w14:textId="77777777" w:rsidR="003D2D6A" w:rsidRPr="003D2D6A" w:rsidRDefault="003D2D6A" w:rsidP="003D2D6A">
      <w:pPr>
        <w:rPr>
          <w:b/>
          <w:bCs/>
        </w:rPr>
      </w:pPr>
      <w:r w:rsidRPr="003D2D6A">
        <w:rPr>
          <w:b/>
          <w:bCs/>
        </w:rPr>
        <w:t>Title:</w:t>
      </w:r>
    </w:p>
    <w:p w14:paraId="2A2809C0" w14:textId="3C2E6112" w:rsidR="003D2D6A" w:rsidRPr="003D2D6A" w:rsidRDefault="003D2D6A" w:rsidP="003D2D6A">
      <w:pPr>
        <w:rPr>
          <w:b/>
          <w:bCs/>
        </w:rPr>
      </w:pPr>
      <w:r w:rsidRPr="003D2D6A">
        <w:rPr>
          <w:b/>
          <w:bCs/>
        </w:rPr>
        <w:t>A Randomized, Double-Blind, Place</w:t>
      </w:r>
      <w:r w:rsidR="00E22CF3">
        <w:rPr>
          <w:b/>
          <w:bCs/>
        </w:rPr>
        <w:t>b</w:t>
      </w:r>
      <w:r w:rsidRPr="003D2D6A">
        <w:rPr>
          <w:b/>
          <w:bCs/>
        </w:rPr>
        <w:t>o-Controlled, Phase 2 Study to Evaluate the Safety and Efficacy of Ilizomab in Patients with Moderate to Severe Systemic Lupus Erythematosus</w:t>
      </w:r>
    </w:p>
    <w:p w14:paraId="5D0AD9B9" w14:textId="77777777" w:rsidR="003D2D6A" w:rsidRPr="003D2D6A" w:rsidRDefault="003D2D6A" w:rsidP="003D2D6A">
      <w:pPr>
        <w:rPr>
          <w:b/>
          <w:bCs/>
        </w:rPr>
      </w:pPr>
      <w:r w:rsidRPr="003D2D6A">
        <w:rPr>
          <w:b/>
          <w:bCs/>
        </w:rPr>
        <w:t>Sponsor: [Company Name]</w:t>
      </w:r>
    </w:p>
    <w:p w14:paraId="044F7949" w14:textId="77777777" w:rsidR="003D2D6A" w:rsidRPr="003D2D6A" w:rsidRDefault="003D2D6A" w:rsidP="003D2D6A">
      <w:pPr>
        <w:rPr>
          <w:b/>
          <w:bCs/>
        </w:rPr>
      </w:pPr>
      <w:r w:rsidRPr="003D2D6A">
        <w:rPr>
          <w:b/>
          <w:bCs/>
        </w:rPr>
        <w:t>Clinical Trial Identifier: [Unique ID]</w:t>
      </w:r>
      <w:r w:rsidRPr="003D2D6A">
        <w:rPr>
          <w:b/>
          <w:bCs/>
        </w:rPr>
        <w:br/>
        <w:t>Study Phase: Phase 2</w:t>
      </w:r>
      <w:r w:rsidRPr="003D2D6A">
        <w:rPr>
          <w:b/>
          <w:bCs/>
        </w:rPr>
        <w:br/>
        <w:t>Indication: Systemic Lupus Erythematosus (SLE)</w:t>
      </w:r>
      <w:r w:rsidRPr="003D2D6A">
        <w:rPr>
          <w:b/>
          <w:bCs/>
        </w:rPr>
        <w:br/>
        <w:t>Study Population: Adult patients (18-75 years) with moderate to severe SLE per SLEDAI-2K criteria</w:t>
      </w:r>
    </w:p>
    <w:p w14:paraId="77EC8848" w14:textId="77777777" w:rsidR="003D2D6A" w:rsidRPr="003D2D6A" w:rsidRDefault="003D2D6A" w:rsidP="003D2D6A">
      <w:pPr>
        <w:rPr>
          <w:b/>
          <w:bCs/>
        </w:rPr>
      </w:pPr>
      <w:r w:rsidRPr="003D2D6A">
        <w:rPr>
          <w:b/>
          <w:bCs/>
        </w:rPr>
        <w:t>Background and Rationale</w:t>
      </w:r>
    </w:p>
    <w:p w14:paraId="48353D26" w14:textId="1C19E4FB" w:rsidR="003D2D6A" w:rsidRPr="003D2D6A" w:rsidRDefault="003D2D6A" w:rsidP="003D2D6A">
      <w:pPr>
        <w:rPr>
          <w:b/>
          <w:bCs/>
        </w:rPr>
      </w:pPr>
      <w:r w:rsidRPr="003D2D6A">
        <w:rPr>
          <w:b/>
          <w:bCs/>
        </w:rPr>
        <w:t>Systemic Lupus Erythematosus (SLE) is a chronic autoimmune disease characterized by widespread inflammation and tissue damage. Current treatment options primarily include corticosteroids, immunosuppressants, and biologic therapies, but a significant unmet need remains for more targeted, effective, and safer treatment options.</w:t>
      </w:r>
      <w:r w:rsidR="00C03277">
        <w:rPr>
          <w:b/>
          <w:bCs/>
        </w:rPr>
        <w:t xml:space="preserve"> </w:t>
      </w:r>
      <w:r w:rsidR="003F3324">
        <w:rPr>
          <w:b/>
          <w:bCs/>
        </w:rPr>
        <w:t xml:space="preserve">Suppressing the IFN signature </w:t>
      </w:r>
      <w:proofErr w:type="gramStart"/>
      <w:r w:rsidR="003F3324">
        <w:rPr>
          <w:b/>
          <w:bCs/>
        </w:rPr>
        <w:t>through the use of</w:t>
      </w:r>
      <w:proofErr w:type="gramEnd"/>
      <w:r w:rsidR="003F3324">
        <w:rPr>
          <w:b/>
          <w:bCs/>
        </w:rPr>
        <w:t xml:space="preserve"> monoclonal anti</w:t>
      </w:r>
      <w:r w:rsidR="00F42889">
        <w:rPr>
          <w:b/>
          <w:bCs/>
        </w:rPr>
        <w:t>body that targets</w:t>
      </w:r>
      <w:r w:rsidR="003A51D7">
        <w:rPr>
          <w:b/>
          <w:bCs/>
        </w:rPr>
        <w:t xml:space="preserve"> the </w:t>
      </w:r>
      <w:r w:rsidR="00FE0012">
        <w:rPr>
          <w:b/>
          <w:bCs/>
        </w:rPr>
        <w:t>type I IFN receptor has been shown to be effective in SLE.</w:t>
      </w:r>
    </w:p>
    <w:p w14:paraId="3D77B28C" w14:textId="77777777" w:rsidR="003D2D6A" w:rsidRPr="003D2D6A" w:rsidRDefault="003D2D6A" w:rsidP="003D2D6A">
      <w:pPr>
        <w:rPr>
          <w:b/>
          <w:bCs/>
        </w:rPr>
      </w:pPr>
      <w:r w:rsidRPr="003D2D6A">
        <w:rPr>
          <w:b/>
          <w:bCs/>
        </w:rPr>
        <w:t>Ilizomab is a novel monoclonal antibody targeting [specific pathway], which has demonstrated promising results in preclinical toxicology and pharmacokinetic studies. Preclinical data suggest that Ilizomab selectively modulates immune pathways involved in lupus pathogenesis, reducing inflammatory cytokines and autoantibody production. Mild fatigue, nausea, and rare instances of syncope were observed in preclinical studies but were not dose-limiting. This study aims to evaluate its safety, efficacy, and pharmacokinetics in patients with moderate to severe SLE.</w:t>
      </w:r>
    </w:p>
    <w:p w14:paraId="3409733C" w14:textId="77777777" w:rsidR="003D2D6A" w:rsidRPr="003D2D6A" w:rsidRDefault="003D2D6A" w:rsidP="003D2D6A">
      <w:pPr>
        <w:rPr>
          <w:b/>
          <w:bCs/>
        </w:rPr>
      </w:pPr>
      <w:r w:rsidRPr="003D2D6A">
        <w:rPr>
          <w:b/>
          <w:bCs/>
        </w:rPr>
        <w:t>Study Design</w:t>
      </w:r>
    </w:p>
    <w:p w14:paraId="69969E7C" w14:textId="77777777" w:rsidR="003D2D6A" w:rsidRPr="003D2D6A" w:rsidRDefault="003D2D6A" w:rsidP="003D2D6A">
      <w:pPr>
        <w:numPr>
          <w:ilvl w:val="0"/>
          <w:numId w:val="31"/>
        </w:numPr>
        <w:rPr>
          <w:b/>
          <w:bCs/>
        </w:rPr>
      </w:pPr>
      <w:r w:rsidRPr="003D2D6A">
        <w:rPr>
          <w:b/>
          <w:bCs/>
        </w:rPr>
        <w:t>Type: Multicenter, randomized, double-blind, placebo-controlled trial</w:t>
      </w:r>
    </w:p>
    <w:p w14:paraId="524AE525" w14:textId="77777777" w:rsidR="003D2D6A" w:rsidRPr="003D2D6A" w:rsidRDefault="003D2D6A" w:rsidP="003D2D6A">
      <w:pPr>
        <w:numPr>
          <w:ilvl w:val="0"/>
          <w:numId w:val="31"/>
        </w:numPr>
        <w:rPr>
          <w:b/>
          <w:bCs/>
        </w:rPr>
      </w:pPr>
      <w:r w:rsidRPr="003D2D6A">
        <w:rPr>
          <w:b/>
          <w:bCs/>
        </w:rPr>
        <w:t>Sample Size: Approximately 150 participants, randomized 2:1 (</w:t>
      </w:r>
      <w:proofErr w:type="gramStart"/>
      <w:r w:rsidRPr="003D2D6A">
        <w:rPr>
          <w:b/>
          <w:bCs/>
        </w:rPr>
        <w:t>Ilizomab:Placebo</w:t>
      </w:r>
      <w:proofErr w:type="gramEnd"/>
      <w:r w:rsidRPr="003D2D6A">
        <w:rPr>
          <w:b/>
          <w:bCs/>
        </w:rPr>
        <w:t>)</w:t>
      </w:r>
    </w:p>
    <w:p w14:paraId="1E459E13" w14:textId="77777777" w:rsidR="003D2D6A" w:rsidRPr="003D2D6A" w:rsidRDefault="003D2D6A" w:rsidP="003D2D6A">
      <w:pPr>
        <w:numPr>
          <w:ilvl w:val="0"/>
          <w:numId w:val="31"/>
        </w:numPr>
        <w:rPr>
          <w:b/>
          <w:bCs/>
        </w:rPr>
      </w:pPr>
      <w:r w:rsidRPr="003D2D6A">
        <w:rPr>
          <w:b/>
          <w:bCs/>
        </w:rPr>
        <w:t>Duration: 24 weeks of treatment + 12 weeks of follow-up</w:t>
      </w:r>
    </w:p>
    <w:p w14:paraId="6FCE0C60" w14:textId="77777777" w:rsidR="003D2D6A" w:rsidRPr="003D2D6A" w:rsidRDefault="003D2D6A" w:rsidP="003D2D6A">
      <w:pPr>
        <w:numPr>
          <w:ilvl w:val="0"/>
          <w:numId w:val="31"/>
        </w:numPr>
        <w:rPr>
          <w:b/>
          <w:bCs/>
        </w:rPr>
      </w:pPr>
      <w:r w:rsidRPr="003D2D6A">
        <w:rPr>
          <w:b/>
          <w:bCs/>
        </w:rPr>
        <w:t>Dosing: Ilizomab administered [route, frequency, and dosage]</w:t>
      </w:r>
    </w:p>
    <w:p w14:paraId="4EBDB809" w14:textId="77777777" w:rsidR="003D2D6A" w:rsidRDefault="003D2D6A" w:rsidP="003D2D6A">
      <w:pPr>
        <w:numPr>
          <w:ilvl w:val="0"/>
          <w:numId w:val="31"/>
        </w:numPr>
        <w:rPr>
          <w:b/>
          <w:bCs/>
        </w:rPr>
      </w:pPr>
      <w:r w:rsidRPr="003D2D6A">
        <w:rPr>
          <w:b/>
          <w:bCs/>
        </w:rPr>
        <w:t>Primary Endpoint Assessment: Week 24</w:t>
      </w:r>
    </w:p>
    <w:p w14:paraId="626A768E" w14:textId="3EC67896" w:rsidR="005D52AB" w:rsidRPr="003D2D6A" w:rsidRDefault="005D52AB" w:rsidP="003D2D6A">
      <w:pPr>
        <w:numPr>
          <w:ilvl w:val="0"/>
          <w:numId w:val="31"/>
        </w:numPr>
        <w:rPr>
          <w:b/>
          <w:bCs/>
        </w:rPr>
      </w:pPr>
      <w:r>
        <w:rPr>
          <w:b/>
          <w:bCs/>
        </w:rPr>
        <w:t>25% response rate assumed</w:t>
      </w:r>
    </w:p>
    <w:p w14:paraId="5F4A002B" w14:textId="77777777" w:rsidR="003D2D6A" w:rsidRPr="003D2D6A" w:rsidRDefault="003D2D6A" w:rsidP="003D2D6A">
      <w:pPr>
        <w:numPr>
          <w:ilvl w:val="0"/>
          <w:numId w:val="31"/>
        </w:numPr>
        <w:rPr>
          <w:b/>
          <w:bCs/>
        </w:rPr>
      </w:pPr>
      <w:r w:rsidRPr="003D2D6A">
        <w:rPr>
          <w:b/>
          <w:bCs/>
        </w:rPr>
        <w:t>Follow-up Period: 12 weeks post-treatment</w:t>
      </w:r>
    </w:p>
    <w:p w14:paraId="34F555BA" w14:textId="77777777" w:rsidR="003D2D6A" w:rsidRPr="003D2D6A" w:rsidRDefault="003D2D6A" w:rsidP="003D2D6A">
      <w:pPr>
        <w:rPr>
          <w:b/>
          <w:bCs/>
        </w:rPr>
      </w:pPr>
      <w:r w:rsidRPr="003D2D6A">
        <w:rPr>
          <w:b/>
          <w:bCs/>
        </w:rPr>
        <w:t>Objectives and Endpoints</w:t>
      </w:r>
    </w:p>
    <w:p w14:paraId="42E68DD2" w14:textId="77777777" w:rsidR="003D2D6A" w:rsidRPr="003D2D6A" w:rsidRDefault="003D2D6A" w:rsidP="003D2D6A">
      <w:pPr>
        <w:rPr>
          <w:b/>
          <w:bCs/>
        </w:rPr>
      </w:pPr>
      <w:r w:rsidRPr="003D2D6A">
        <w:rPr>
          <w:b/>
          <w:bCs/>
        </w:rPr>
        <w:t>Primary Objective:</w:t>
      </w:r>
    </w:p>
    <w:p w14:paraId="21DB958C" w14:textId="77777777" w:rsidR="003D2D6A" w:rsidRPr="003D2D6A" w:rsidRDefault="003D2D6A" w:rsidP="003D2D6A">
      <w:pPr>
        <w:numPr>
          <w:ilvl w:val="0"/>
          <w:numId w:val="32"/>
        </w:numPr>
        <w:rPr>
          <w:b/>
          <w:bCs/>
        </w:rPr>
      </w:pPr>
      <w:r w:rsidRPr="003D2D6A">
        <w:rPr>
          <w:b/>
          <w:bCs/>
        </w:rPr>
        <w:t>To evaluate the efficacy and safety of Ilizomab in reducing disease activity in patients with moderate to severe SLE using the Systemic Lupus Erythematosus Responder Index (SRI-4) at Week 24.</w:t>
      </w:r>
    </w:p>
    <w:p w14:paraId="0004D0B0" w14:textId="77777777" w:rsidR="003D2D6A" w:rsidRPr="003D2D6A" w:rsidRDefault="003D2D6A" w:rsidP="003D2D6A">
      <w:pPr>
        <w:rPr>
          <w:b/>
          <w:bCs/>
        </w:rPr>
      </w:pPr>
      <w:r w:rsidRPr="003D2D6A">
        <w:rPr>
          <w:b/>
          <w:bCs/>
        </w:rPr>
        <w:t>Secondary Objectives:</w:t>
      </w:r>
    </w:p>
    <w:p w14:paraId="53C6A596" w14:textId="77777777" w:rsidR="003D2D6A" w:rsidRPr="003D2D6A" w:rsidRDefault="003D2D6A" w:rsidP="003D2D6A">
      <w:pPr>
        <w:numPr>
          <w:ilvl w:val="0"/>
          <w:numId w:val="33"/>
        </w:numPr>
        <w:rPr>
          <w:b/>
          <w:bCs/>
        </w:rPr>
      </w:pPr>
      <w:r w:rsidRPr="003D2D6A">
        <w:rPr>
          <w:b/>
          <w:bCs/>
        </w:rPr>
        <w:t>Assess changes in SLE Disease Activity Index 2000 (SLEDAI-2K) scores from baseline</w:t>
      </w:r>
    </w:p>
    <w:p w14:paraId="06CB476F" w14:textId="77777777" w:rsidR="003D2D6A" w:rsidRPr="003D2D6A" w:rsidRDefault="003D2D6A" w:rsidP="003D2D6A">
      <w:pPr>
        <w:numPr>
          <w:ilvl w:val="0"/>
          <w:numId w:val="33"/>
        </w:numPr>
        <w:rPr>
          <w:b/>
          <w:bCs/>
        </w:rPr>
      </w:pPr>
      <w:r w:rsidRPr="003D2D6A">
        <w:rPr>
          <w:b/>
          <w:bCs/>
        </w:rPr>
        <w:t>Evaluate the impact of treatment on biomarkers associated with SLE activity</w:t>
      </w:r>
    </w:p>
    <w:p w14:paraId="3F8029CB" w14:textId="77777777" w:rsidR="003D2D6A" w:rsidRPr="003D2D6A" w:rsidRDefault="003D2D6A" w:rsidP="003D2D6A">
      <w:pPr>
        <w:numPr>
          <w:ilvl w:val="0"/>
          <w:numId w:val="33"/>
        </w:numPr>
        <w:rPr>
          <w:b/>
          <w:bCs/>
        </w:rPr>
      </w:pPr>
      <w:r w:rsidRPr="003D2D6A">
        <w:rPr>
          <w:b/>
          <w:bCs/>
        </w:rPr>
        <w:t>Assess improvements in patient-reported outcomes (PROs) using validated instruments</w:t>
      </w:r>
    </w:p>
    <w:p w14:paraId="32D01AA0" w14:textId="77777777" w:rsidR="003D2D6A" w:rsidRPr="003D2D6A" w:rsidRDefault="003D2D6A" w:rsidP="003D2D6A">
      <w:pPr>
        <w:numPr>
          <w:ilvl w:val="0"/>
          <w:numId w:val="33"/>
        </w:numPr>
        <w:rPr>
          <w:b/>
          <w:bCs/>
        </w:rPr>
      </w:pPr>
      <w:r w:rsidRPr="003D2D6A">
        <w:rPr>
          <w:b/>
          <w:bCs/>
        </w:rPr>
        <w:t xml:space="preserve">Evaluate the safety and tolerability of Ilizomab over the study duration, including rates of adverse events (AEs), serious adverse events (SAEs), and </w:t>
      </w:r>
      <w:proofErr w:type="gramStart"/>
      <w:r w:rsidRPr="003D2D6A">
        <w:rPr>
          <w:b/>
          <w:bCs/>
        </w:rPr>
        <w:t>immunogenicity</w:t>
      </w:r>
      <w:proofErr w:type="gramEnd"/>
    </w:p>
    <w:p w14:paraId="749A49B5" w14:textId="77777777" w:rsidR="003D2D6A" w:rsidRPr="003D2D6A" w:rsidRDefault="003D2D6A" w:rsidP="003D2D6A">
      <w:pPr>
        <w:rPr>
          <w:b/>
          <w:bCs/>
        </w:rPr>
      </w:pPr>
      <w:r w:rsidRPr="003D2D6A">
        <w:rPr>
          <w:b/>
          <w:bCs/>
        </w:rPr>
        <w:t>Endpoints:</w:t>
      </w:r>
    </w:p>
    <w:p w14:paraId="5E0A9FEF" w14:textId="77777777" w:rsidR="003D2D6A" w:rsidRPr="003D2D6A" w:rsidRDefault="003D2D6A" w:rsidP="003D2D6A">
      <w:pPr>
        <w:numPr>
          <w:ilvl w:val="0"/>
          <w:numId w:val="34"/>
        </w:numPr>
        <w:rPr>
          <w:b/>
          <w:bCs/>
        </w:rPr>
      </w:pPr>
      <w:r w:rsidRPr="003D2D6A">
        <w:rPr>
          <w:b/>
          <w:bCs/>
        </w:rPr>
        <w:t>Primary Endpoint: Proportion of patients achieving SRI-4 response at Week 24</w:t>
      </w:r>
    </w:p>
    <w:p w14:paraId="58A68557" w14:textId="77777777" w:rsidR="003D2D6A" w:rsidRPr="003D2D6A" w:rsidRDefault="003D2D6A" w:rsidP="003D2D6A">
      <w:pPr>
        <w:numPr>
          <w:ilvl w:val="0"/>
          <w:numId w:val="34"/>
        </w:numPr>
        <w:rPr>
          <w:b/>
          <w:bCs/>
        </w:rPr>
      </w:pPr>
      <w:r w:rsidRPr="003D2D6A">
        <w:rPr>
          <w:b/>
          <w:bCs/>
        </w:rPr>
        <w:t>Secondary Endpoints:</w:t>
      </w:r>
    </w:p>
    <w:p w14:paraId="07563B91" w14:textId="77777777" w:rsidR="003D2D6A" w:rsidRPr="003D2D6A" w:rsidRDefault="003D2D6A" w:rsidP="003D2D6A">
      <w:pPr>
        <w:numPr>
          <w:ilvl w:val="1"/>
          <w:numId w:val="34"/>
        </w:numPr>
        <w:rPr>
          <w:b/>
          <w:bCs/>
        </w:rPr>
      </w:pPr>
      <w:r w:rsidRPr="003D2D6A">
        <w:rPr>
          <w:b/>
          <w:bCs/>
        </w:rPr>
        <w:t>Change from baseline in SLEDAI-2K</w:t>
      </w:r>
    </w:p>
    <w:p w14:paraId="1237DECE" w14:textId="77777777" w:rsidR="003D2D6A" w:rsidRPr="003D2D6A" w:rsidRDefault="003D2D6A" w:rsidP="003D2D6A">
      <w:pPr>
        <w:numPr>
          <w:ilvl w:val="1"/>
          <w:numId w:val="34"/>
        </w:numPr>
        <w:rPr>
          <w:b/>
          <w:bCs/>
        </w:rPr>
      </w:pPr>
      <w:r w:rsidRPr="003D2D6A">
        <w:rPr>
          <w:b/>
          <w:bCs/>
        </w:rPr>
        <w:t>Percentage of patients successfully tapering corticosteroids</w:t>
      </w:r>
    </w:p>
    <w:p w14:paraId="046B3000" w14:textId="77777777" w:rsidR="003D2D6A" w:rsidRPr="003D2D6A" w:rsidRDefault="003D2D6A" w:rsidP="003D2D6A">
      <w:pPr>
        <w:numPr>
          <w:ilvl w:val="1"/>
          <w:numId w:val="34"/>
        </w:numPr>
        <w:rPr>
          <w:b/>
          <w:bCs/>
        </w:rPr>
      </w:pPr>
      <w:r w:rsidRPr="003D2D6A">
        <w:rPr>
          <w:b/>
          <w:bCs/>
        </w:rPr>
        <w:t>Biomarker assessments (e.g., complement levels, anti-dsDNA antibody levels)</w:t>
      </w:r>
    </w:p>
    <w:p w14:paraId="1F1D1518" w14:textId="77777777" w:rsidR="003D2D6A" w:rsidRPr="003D2D6A" w:rsidRDefault="003D2D6A" w:rsidP="003D2D6A">
      <w:pPr>
        <w:numPr>
          <w:ilvl w:val="1"/>
          <w:numId w:val="34"/>
        </w:numPr>
        <w:rPr>
          <w:b/>
          <w:bCs/>
        </w:rPr>
      </w:pPr>
      <w:r w:rsidRPr="003D2D6A">
        <w:rPr>
          <w:b/>
          <w:bCs/>
        </w:rPr>
        <w:t>Safety evaluations: Incidence of AEs, SAEs, treatment-emergent adverse events (TEAEs), and laboratory abnormalities</w:t>
      </w:r>
    </w:p>
    <w:p w14:paraId="39BEE9D3" w14:textId="77777777" w:rsidR="003D2D6A" w:rsidRPr="003D2D6A" w:rsidRDefault="003D2D6A" w:rsidP="003D2D6A">
      <w:pPr>
        <w:numPr>
          <w:ilvl w:val="1"/>
          <w:numId w:val="34"/>
        </w:numPr>
        <w:rPr>
          <w:b/>
          <w:bCs/>
        </w:rPr>
      </w:pPr>
      <w:r w:rsidRPr="003D2D6A">
        <w:rPr>
          <w:b/>
          <w:bCs/>
        </w:rPr>
        <w:t>Immunogenicity Assessment: Development of anti-drug antibodies (ADAs)</w:t>
      </w:r>
    </w:p>
    <w:p w14:paraId="6C1D0EA7" w14:textId="77777777" w:rsidR="003D2D6A" w:rsidRPr="003D2D6A" w:rsidRDefault="003D2D6A" w:rsidP="003D2D6A">
      <w:pPr>
        <w:rPr>
          <w:b/>
          <w:bCs/>
        </w:rPr>
      </w:pPr>
      <w:r w:rsidRPr="003D2D6A">
        <w:rPr>
          <w:b/>
          <w:bCs/>
        </w:rPr>
        <w:t>Eligibility Criteria</w:t>
      </w:r>
    </w:p>
    <w:p w14:paraId="31C8160E" w14:textId="77777777" w:rsidR="003D2D6A" w:rsidRPr="003D2D6A" w:rsidRDefault="003D2D6A" w:rsidP="003D2D6A">
      <w:pPr>
        <w:rPr>
          <w:b/>
          <w:bCs/>
        </w:rPr>
      </w:pPr>
      <w:r w:rsidRPr="003D2D6A">
        <w:rPr>
          <w:b/>
          <w:bCs/>
        </w:rPr>
        <w:t>Inclusion Criteria:</w:t>
      </w:r>
    </w:p>
    <w:p w14:paraId="6402D473" w14:textId="77777777" w:rsidR="003D2D6A" w:rsidRPr="003D2D6A" w:rsidRDefault="003D2D6A" w:rsidP="003D2D6A">
      <w:pPr>
        <w:numPr>
          <w:ilvl w:val="0"/>
          <w:numId w:val="35"/>
        </w:numPr>
        <w:rPr>
          <w:b/>
          <w:bCs/>
        </w:rPr>
      </w:pPr>
      <w:r w:rsidRPr="003D2D6A">
        <w:rPr>
          <w:b/>
          <w:bCs/>
        </w:rPr>
        <w:t>Adults aged 18 to 75 years</w:t>
      </w:r>
    </w:p>
    <w:p w14:paraId="5B9D36E9" w14:textId="77777777" w:rsidR="003D2D6A" w:rsidRPr="003D2D6A" w:rsidRDefault="003D2D6A" w:rsidP="003D2D6A">
      <w:pPr>
        <w:numPr>
          <w:ilvl w:val="0"/>
          <w:numId w:val="35"/>
        </w:numPr>
        <w:rPr>
          <w:b/>
          <w:bCs/>
        </w:rPr>
      </w:pPr>
      <w:r w:rsidRPr="003D2D6A">
        <w:rPr>
          <w:b/>
          <w:bCs/>
        </w:rPr>
        <w:t>Diagnosis of SLE as per ACR/EULAR 2019 classification criteria</w:t>
      </w:r>
    </w:p>
    <w:p w14:paraId="39508181" w14:textId="77777777" w:rsidR="003D2D6A" w:rsidRPr="003D2D6A" w:rsidRDefault="003D2D6A" w:rsidP="003D2D6A">
      <w:pPr>
        <w:numPr>
          <w:ilvl w:val="0"/>
          <w:numId w:val="35"/>
        </w:numPr>
        <w:rPr>
          <w:b/>
          <w:bCs/>
        </w:rPr>
      </w:pPr>
      <w:r w:rsidRPr="003D2D6A">
        <w:rPr>
          <w:b/>
          <w:bCs/>
        </w:rPr>
        <w:t>SLEDAI-2K score ≥6 at screening</w:t>
      </w:r>
    </w:p>
    <w:p w14:paraId="60850B2D" w14:textId="77777777" w:rsidR="003D2D6A" w:rsidRPr="003D2D6A" w:rsidRDefault="003D2D6A" w:rsidP="003D2D6A">
      <w:pPr>
        <w:numPr>
          <w:ilvl w:val="0"/>
          <w:numId w:val="35"/>
        </w:numPr>
        <w:rPr>
          <w:b/>
          <w:bCs/>
        </w:rPr>
      </w:pPr>
      <w:r w:rsidRPr="003D2D6A">
        <w:rPr>
          <w:b/>
          <w:bCs/>
        </w:rPr>
        <w:t>Positive for ANA (antinuclear antibodies) or anti-dsDNA at screening</w:t>
      </w:r>
    </w:p>
    <w:p w14:paraId="6B0AAAF7" w14:textId="77777777" w:rsidR="003D2D6A" w:rsidRPr="003D2D6A" w:rsidRDefault="003D2D6A" w:rsidP="003D2D6A">
      <w:pPr>
        <w:numPr>
          <w:ilvl w:val="0"/>
          <w:numId w:val="35"/>
        </w:numPr>
        <w:rPr>
          <w:b/>
          <w:bCs/>
        </w:rPr>
      </w:pPr>
      <w:r w:rsidRPr="003D2D6A">
        <w:rPr>
          <w:b/>
          <w:bCs/>
        </w:rPr>
        <w:t>Receiving stable background therapy for SLE, including corticosteroids (≤10 mg/day prednisone or equivalent), antimalarials, and/or immunosuppressants for ≥12 weeks</w:t>
      </w:r>
    </w:p>
    <w:p w14:paraId="134DBBF8" w14:textId="77777777" w:rsidR="003D2D6A" w:rsidRPr="003D2D6A" w:rsidRDefault="003D2D6A" w:rsidP="003D2D6A">
      <w:pPr>
        <w:numPr>
          <w:ilvl w:val="0"/>
          <w:numId w:val="35"/>
        </w:numPr>
        <w:rPr>
          <w:b/>
          <w:bCs/>
        </w:rPr>
      </w:pPr>
      <w:r w:rsidRPr="003D2D6A">
        <w:rPr>
          <w:b/>
          <w:bCs/>
        </w:rPr>
        <w:t>Willing and able to provide informed consent and comply with study procedures</w:t>
      </w:r>
    </w:p>
    <w:p w14:paraId="2830E4D9" w14:textId="77777777" w:rsidR="003D2D6A" w:rsidRPr="003D2D6A" w:rsidRDefault="003D2D6A" w:rsidP="003D2D6A">
      <w:pPr>
        <w:rPr>
          <w:b/>
          <w:bCs/>
        </w:rPr>
      </w:pPr>
      <w:r w:rsidRPr="003D2D6A">
        <w:rPr>
          <w:b/>
          <w:bCs/>
        </w:rPr>
        <w:t>Exclusion Criteria:</w:t>
      </w:r>
    </w:p>
    <w:p w14:paraId="76C824CE" w14:textId="77777777" w:rsidR="003D2D6A" w:rsidRPr="003D2D6A" w:rsidRDefault="003D2D6A" w:rsidP="003D2D6A">
      <w:pPr>
        <w:numPr>
          <w:ilvl w:val="0"/>
          <w:numId w:val="36"/>
        </w:numPr>
        <w:rPr>
          <w:b/>
          <w:bCs/>
        </w:rPr>
      </w:pPr>
      <w:r w:rsidRPr="003D2D6A">
        <w:rPr>
          <w:b/>
          <w:bCs/>
        </w:rPr>
        <w:t>Active severe lupus nephritis or CNS lupus</w:t>
      </w:r>
    </w:p>
    <w:p w14:paraId="7738FA14" w14:textId="77777777" w:rsidR="003D2D6A" w:rsidRPr="003D2D6A" w:rsidRDefault="003D2D6A" w:rsidP="003D2D6A">
      <w:pPr>
        <w:numPr>
          <w:ilvl w:val="0"/>
          <w:numId w:val="36"/>
        </w:numPr>
        <w:rPr>
          <w:b/>
          <w:bCs/>
        </w:rPr>
      </w:pPr>
      <w:r w:rsidRPr="003D2D6A">
        <w:rPr>
          <w:b/>
          <w:bCs/>
        </w:rPr>
        <w:t>History of severe allergic reactions to monoclonal antibodies</w:t>
      </w:r>
    </w:p>
    <w:p w14:paraId="5FDECC39" w14:textId="77777777" w:rsidR="003D2D6A" w:rsidRPr="003D2D6A" w:rsidRDefault="003D2D6A" w:rsidP="003D2D6A">
      <w:pPr>
        <w:numPr>
          <w:ilvl w:val="0"/>
          <w:numId w:val="36"/>
        </w:numPr>
        <w:rPr>
          <w:b/>
          <w:bCs/>
        </w:rPr>
      </w:pPr>
      <w:r w:rsidRPr="003D2D6A">
        <w:rPr>
          <w:b/>
          <w:bCs/>
        </w:rPr>
        <w:t>Active or chronic infections, including tuberculosis, hepatitis B or C, HIV</w:t>
      </w:r>
    </w:p>
    <w:p w14:paraId="014D8366" w14:textId="77777777" w:rsidR="003D2D6A" w:rsidRPr="003D2D6A" w:rsidRDefault="003D2D6A" w:rsidP="003D2D6A">
      <w:pPr>
        <w:numPr>
          <w:ilvl w:val="0"/>
          <w:numId w:val="36"/>
        </w:numPr>
        <w:rPr>
          <w:b/>
          <w:bCs/>
        </w:rPr>
      </w:pPr>
      <w:r w:rsidRPr="003D2D6A">
        <w:rPr>
          <w:b/>
          <w:bCs/>
        </w:rPr>
        <w:t>Use of biologic therapy within 12 weeks of screening</w:t>
      </w:r>
    </w:p>
    <w:p w14:paraId="15B6879F" w14:textId="77777777" w:rsidR="003D2D6A" w:rsidRPr="003D2D6A" w:rsidRDefault="003D2D6A" w:rsidP="003D2D6A">
      <w:pPr>
        <w:numPr>
          <w:ilvl w:val="0"/>
          <w:numId w:val="36"/>
        </w:numPr>
        <w:rPr>
          <w:b/>
          <w:bCs/>
        </w:rPr>
      </w:pPr>
      <w:r w:rsidRPr="003D2D6A">
        <w:rPr>
          <w:b/>
          <w:bCs/>
        </w:rPr>
        <w:t>Pregnancy or breastfeeding</w:t>
      </w:r>
    </w:p>
    <w:p w14:paraId="167D8EA5" w14:textId="77777777" w:rsidR="003D2D6A" w:rsidRPr="003D2D6A" w:rsidRDefault="003D2D6A" w:rsidP="003D2D6A">
      <w:pPr>
        <w:numPr>
          <w:ilvl w:val="0"/>
          <w:numId w:val="36"/>
        </w:numPr>
        <w:rPr>
          <w:b/>
          <w:bCs/>
        </w:rPr>
      </w:pPr>
      <w:r w:rsidRPr="003D2D6A">
        <w:rPr>
          <w:b/>
          <w:bCs/>
        </w:rPr>
        <w:t>Any other medical condition that, in the investigator’s opinion, would compromise patient safety or data integrity</w:t>
      </w:r>
    </w:p>
    <w:p w14:paraId="69D6118A" w14:textId="77777777" w:rsidR="003D2D6A" w:rsidRPr="003D2D6A" w:rsidRDefault="003D2D6A" w:rsidP="003D2D6A">
      <w:pPr>
        <w:rPr>
          <w:b/>
          <w:bCs/>
        </w:rPr>
      </w:pPr>
      <w:r w:rsidRPr="003D2D6A">
        <w:rPr>
          <w:b/>
          <w:bCs/>
        </w:rPr>
        <w:t>Safety Considerations</w:t>
      </w:r>
    </w:p>
    <w:p w14:paraId="546BC92A" w14:textId="77777777" w:rsidR="003D2D6A" w:rsidRPr="003D2D6A" w:rsidRDefault="003D2D6A" w:rsidP="003D2D6A">
      <w:pPr>
        <w:numPr>
          <w:ilvl w:val="0"/>
          <w:numId w:val="37"/>
        </w:numPr>
        <w:rPr>
          <w:b/>
          <w:bCs/>
        </w:rPr>
      </w:pPr>
      <w:r w:rsidRPr="003D2D6A">
        <w:rPr>
          <w:b/>
          <w:bCs/>
        </w:rPr>
        <w:t>Adverse Event (AE) Monitoring:</w:t>
      </w:r>
    </w:p>
    <w:p w14:paraId="46113350" w14:textId="77777777" w:rsidR="003D2D6A" w:rsidRPr="003D2D6A" w:rsidRDefault="003D2D6A" w:rsidP="003D2D6A">
      <w:pPr>
        <w:numPr>
          <w:ilvl w:val="1"/>
          <w:numId w:val="37"/>
        </w:numPr>
        <w:rPr>
          <w:b/>
          <w:bCs/>
        </w:rPr>
      </w:pPr>
      <w:r w:rsidRPr="003D2D6A">
        <w:rPr>
          <w:b/>
          <w:bCs/>
        </w:rPr>
        <w:t>All AEs will be documented and categorized based on severity and relationship to Ilizomab.</w:t>
      </w:r>
    </w:p>
    <w:p w14:paraId="1CEA62D9" w14:textId="77777777" w:rsidR="003D2D6A" w:rsidRPr="003D2D6A" w:rsidRDefault="003D2D6A" w:rsidP="003D2D6A">
      <w:pPr>
        <w:numPr>
          <w:ilvl w:val="1"/>
          <w:numId w:val="37"/>
        </w:numPr>
        <w:rPr>
          <w:b/>
          <w:bCs/>
        </w:rPr>
      </w:pPr>
      <w:r w:rsidRPr="003D2D6A">
        <w:rPr>
          <w:b/>
          <w:bCs/>
        </w:rPr>
        <w:t>SAEs will be reported immediately per regulatory requirements.</w:t>
      </w:r>
    </w:p>
    <w:p w14:paraId="66DEF00D" w14:textId="77777777" w:rsidR="003D2D6A" w:rsidRPr="003D2D6A" w:rsidRDefault="003D2D6A" w:rsidP="003D2D6A">
      <w:pPr>
        <w:numPr>
          <w:ilvl w:val="1"/>
          <w:numId w:val="37"/>
        </w:numPr>
        <w:rPr>
          <w:b/>
          <w:bCs/>
        </w:rPr>
      </w:pPr>
      <w:r w:rsidRPr="003D2D6A">
        <w:rPr>
          <w:b/>
          <w:bCs/>
        </w:rPr>
        <w:t>Periodic safety data monitoring will be conducted by a Data Safety Monitoring Board (DSMB).</w:t>
      </w:r>
    </w:p>
    <w:p w14:paraId="11AC1F08" w14:textId="77777777" w:rsidR="003D2D6A" w:rsidRPr="003D2D6A" w:rsidRDefault="003D2D6A" w:rsidP="003D2D6A">
      <w:pPr>
        <w:numPr>
          <w:ilvl w:val="0"/>
          <w:numId w:val="37"/>
        </w:numPr>
        <w:rPr>
          <w:b/>
          <w:bCs/>
        </w:rPr>
      </w:pPr>
      <w:r w:rsidRPr="003D2D6A">
        <w:rPr>
          <w:b/>
          <w:bCs/>
        </w:rPr>
        <w:t>Immunogenicity Risks:</w:t>
      </w:r>
    </w:p>
    <w:p w14:paraId="132F367F" w14:textId="77777777" w:rsidR="003D2D6A" w:rsidRPr="003D2D6A" w:rsidRDefault="003D2D6A" w:rsidP="003D2D6A">
      <w:pPr>
        <w:numPr>
          <w:ilvl w:val="1"/>
          <w:numId w:val="37"/>
        </w:numPr>
        <w:rPr>
          <w:b/>
          <w:bCs/>
        </w:rPr>
      </w:pPr>
      <w:r w:rsidRPr="003D2D6A">
        <w:rPr>
          <w:b/>
          <w:bCs/>
        </w:rPr>
        <w:t>Potential for ADA development, which will be monitored via periodic blood sampling.</w:t>
      </w:r>
    </w:p>
    <w:p w14:paraId="154A6FA5" w14:textId="77777777" w:rsidR="003D2D6A" w:rsidRPr="003D2D6A" w:rsidRDefault="003D2D6A" w:rsidP="003D2D6A">
      <w:pPr>
        <w:numPr>
          <w:ilvl w:val="0"/>
          <w:numId w:val="37"/>
        </w:numPr>
        <w:rPr>
          <w:b/>
          <w:bCs/>
        </w:rPr>
      </w:pPr>
      <w:r w:rsidRPr="003D2D6A">
        <w:rPr>
          <w:b/>
          <w:bCs/>
        </w:rPr>
        <w:t>Risk Mitigation Strategies:</w:t>
      </w:r>
    </w:p>
    <w:p w14:paraId="63A9C7AF" w14:textId="77777777" w:rsidR="003D2D6A" w:rsidRPr="003D2D6A" w:rsidRDefault="003D2D6A" w:rsidP="003D2D6A">
      <w:pPr>
        <w:numPr>
          <w:ilvl w:val="1"/>
          <w:numId w:val="37"/>
        </w:numPr>
        <w:rPr>
          <w:b/>
          <w:bCs/>
        </w:rPr>
      </w:pPr>
      <w:r w:rsidRPr="003D2D6A">
        <w:rPr>
          <w:b/>
          <w:bCs/>
        </w:rPr>
        <w:t>Participants with prior severe allergic reactions to monoclonal antibodies will be excluded.</w:t>
      </w:r>
    </w:p>
    <w:p w14:paraId="035E6E01" w14:textId="77777777" w:rsidR="003D2D6A" w:rsidRPr="003D2D6A" w:rsidRDefault="003D2D6A" w:rsidP="003D2D6A">
      <w:pPr>
        <w:numPr>
          <w:ilvl w:val="1"/>
          <w:numId w:val="37"/>
        </w:numPr>
        <w:rPr>
          <w:b/>
          <w:bCs/>
        </w:rPr>
      </w:pPr>
      <w:r w:rsidRPr="003D2D6A">
        <w:rPr>
          <w:b/>
          <w:bCs/>
        </w:rPr>
        <w:t>Pre-treatment screening for latent infections.</w:t>
      </w:r>
    </w:p>
    <w:p w14:paraId="58AEBF47" w14:textId="77777777" w:rsidR="003D2D6A" w:rsidRPr="003D2D6A" w:rsidRDefault="003D2D6A" w:rsidP="003D2D6A">
      <w:pPr>
        <w:numPr>
          <w:ilvl w:val="1"/>
          <w:numId w:val="37"/>
        </w:numPr>
        <w:rPr>
          <w:b/>
          <w:bCs/>
        </w:rPr>
      </w:pPr>
      <w:r w:rsidRPr="003D2D6A">
        <w:rPr>
          <w:b/>
          <w:bCs/>
        </w:rPr>
        <w:t>Close monitoring for infusion-related reactions.</w:t>
      </w:r>
    </w:p>
    <w:p w14:paraId="42ECF95C" w14:textId="77777777" w:rsidR="003D2D6A" w:rsidRPr="003D2D6A" w:rsidRDefault="003D2D6A" w:rsidP="003D2D6A">
      <w:pPr>
        <w:rPr>
          <w:b/>
          <w:bCs/>
        </w:rPr>
      </w:pPr>
      <w:r w:rsidRPr="003D2D6A">
        <w:rPr>
          <w:b/>
          <w:bCs/>
        </w:rPr>
        <w:t>Study Assessments and Procedures</w:t>
      </w:r>
    </w:p>
    <w:p w14:paraId="18270DD9" w14:textId="77777777" w:rsidR="003D2D6A" w:rsidRPr="003D2D6A" w:rsidRDefault="003D2D6A" w:rsidP="003D2D6A">
      <w:pPr>
        <w:numPr>
          <w:ilvl w:val="0"/>
          <w:numId w:val="38"/>
        </w:numPr>
        <w:rPr>
          <w:b/>
          <w:bCs/>
        </w:rPr>
      </w:pPr>
      <w:r w:rsidRPr="003D2D6A">
        <w:rPr>
          <w:b/>
          <w:bCs/>
        </w:rPr>
        <w:t>Screening Phase: Participants will be screened within 28 days before randomization, including laboratory tests and disease activity assessments.</w:t>
      </w:r>
    </w:p>
    <w:p w14:paraId="2D4B05FD" w14:textId="77777777" w:rsidR="003D2D6A" w:rsidRPr="003D2D6A" w:rsidRDefault="003D2D6A" w:rsidP="003D2D6A">
      <w:pPr>
        <w:numPr>
          <w:ilvl w:val="0"/>
          <w:numId w:val="38"/>
        </w:numPr>
        <w:rPr>
          <w:b/>
          <w:bCs/>
        </w:rPr>
      </w:pPr>
      <w:r w:rsidRPr="003D2D6A">
        <w:rPr>
          <w:b/>
          <w:bCs/>
        </w:rPr>
        <w:t>Treatment Phase: Study visits every 4 weeks for safety assessments, laboratory evaluations, and efficacy measurements.</w:t>
      </w:r>
    </w:p>
    <w:p w14:paraId="323191AE" w14:textId="77777777" w:rsidR="003D2D6A" w:rsidRPr="003D2D6A" w:rsidRDefault="003D2D6A" w:rsidP="003D2D6A">
      <w:pPr>
        <w:numPr>
          <w:ilvl w:val="0"/>
          <w:numId w:val="38"/>
        </w:numPr>
        <w:rPr>
          <w:b/>
          <w:bCs/>
        </w:rPr>
      </w:pPr>
      <w:r w:rsidRPr="003D2D6A">
        <w:rPr>
          <w:b/>
          <w:bCs/>
        </w:rPr>
        <w:t>Follow-up Phase: Participants will be followed for 12 weeks post-treatment for safety and immunogenicity assessments.</w:t>
      </w:r>
    </w:p>
    <w:p w14:paraId="32AE80BA" w14:textId="77777777" w:rsidR="003D2D6A" w:rsidRPr="003D2D6A" w:rsidRDefault="003D2D6A" w:rsidP="003D2D6A">
      <w:pPr>
        <w:rPr>
          <w:b/>
          <w:bCs/>
        </w:rPr>
      </w:pPr>
      <w:r w:rsidRPr="003D2D6A">
        <w:rPr>
          <w:b/>
          <w:bCs/>
        </w:rPr>
        <w:t>Statistical Considerations</w:t>
      </w:r>
    </w:p>
    <w:p w14:paraId="5D7BCF9E" w14:textId="2C852744" w:rsidR="00293F82" w:rsidRDefault="00293F82" w:rsidP="003D2D6A">
      <w:pPr>
        <w:numPr>
          <w:ilvl w:val="0"/>
          <w:numId w:val="39"/>
        </w:numPr>
        <w:rPr>
          <w:b/>
          <w:bCs/>
        </w:rPr>
      </w:pPr>
      <w:r>
        <w:rPr>
          <w:b/>
          <w:bCs/>
        </w:rPr>
        <w:t xml:space="preserve">200 </w:t>
      </w:r>
      <w:r w:rsidR="00FD7044">
        <w:rPr>
          <w:b/>
          <w:bCs/>
        </w:rPr>
        <w:t>participants</w:t>
      </w:r>
      <w:r>
        <w:rPr>
          <w:b/>
          <w:bCs/>
        </w:rPr>
        <w:t xml:space="preserve"> will be enrolled</w:t>
      </w:r>
      <w:r w:rsidR="00411A8C">
        <w:rPr>
          <w:b/>
          <w:bCs/>
        </w:rPr>
        <w:t xml:space="preserve"> and randomized</w:t>
      </w:r>
    </w:p>
    <w:p w14:paraId="6B8D221B" w14:textId="4AF96A9C" w:rsidR="003D2D6A" w:rsidRPr="003D2D6A" w:rsidRDefault="003D2D6A" w:rsidP="003D2D6A">
      <w:pPr>
        <w:numPr>
          <w:ilvl w:val="0"/>
          <w:numId w:val="39"/>
        </w:numPr>
        <w:rPr>
          <w:b/>
          <w:bCs/>
        </w:rPr>
      </w:pPr>
      <w:r w:rsidRPr="003D2D6A">
        <w:rPr>
          <w:b/>
          <w:bCs/>
        </w:rPr>
        <w:t>Sample size estimation based on an expected 20% difference in response rate between active and placebo groups.</w:t>
      </w:r>
    </w:p>
    <w:p w14:paraId="20624B0A" w14:textId="77777777" w:rsidR="003D2D6A" w:rsidRPr="003D2D6A" w:rsidRDefault="003D2D6A" w:rsidP="003D2D6A">
      <w:pPr>
        <w:numPr>
          <w:ilvl w:val="0"/>
          <w:numId w:val="39"/>
        </w:numPr>
        <w:rPr>
          <w:b/>
          <w:bCs/>
        </w:rPr>
      </w:pPr>
      <w:r w:rsidRPr="003D2D6A">
        <w:rPr>
          <w:b/>
          <w:bCs/>
        </w:rPr>
        <w:t>Primary analysis: Logistic regression adjusted for baseline characteristics.</w:t>
      </w:r>
    </w:p>
    <w:p w14:paraId="75E58164" w14:textId="77777777" w:rsidR="003D2D6A" w:rsidRPr="003D2D6A" w:rsidRDefault="003D2D6A" w:rsidP="003D2D6A">
      <w:pPr>
        <w:numPr>
          <w:ilvl w:val="0"/>
          <w:numId w:val="39"/>
        </w:numPr>
        <w:rPr>
          <w:b/>
          <w:bCs/>
        </w:rPr>
      </w:pPr>
      <w:r w:rsidRPr="003D2D6A">
        <w:rPr>
          <w:b/>
          <w:bCs/>
        </w:rPr>
        <w:t>Secondary analyses: Mixed-effects models for repeated measures (MMRM), Kaplan-Meier estimates for time-to-event analyses.</w:t>
      </w:r>
    </w:p>
    <w:p w14:paraId="00A1D377" w14:textId="77777777" w:rsidR="003D2D6A" w:rsidRPr="003D2D6A" w:rsidRDefault="003D2D6A" w:rsidP="003D2D6A">
      <w:pPr>
        <w:numPr>
          <w:ilvl w:val="0"/>
          <w:numId w:val="39"/>
        </w:numPr>
        <w:rPr>
          <w:b/>
          <w:bCs/>
        </w:rPr>
      </w:pPr>
      <w:r w:rsidRPr="003D2D6A">
        <w:rPr>
          <w:b/>
          <w:bCs/>
        </w:rPr>
        <w:t>Multiplicity adjustment: Hochberg’s procedure for Type I error control.</w:t>
      </w:r>
    </w:p>
    <w:p w14:paraId="5B3A32B4" w14:textId="77777777" w:rsidR="003D2D6A" w:rsidRPr="003D2D6A" w:rsidRDefault="003D2D6A" w:rsidP="003D2D6A">
      <w:pPr>
        <w:numPr>
          <w:ilvl w:val="0"/>
          <w:numId w:val="39"/>
        </w:numPr>
        <w:rPr>
          <w:b/>
          <w:bCs/>
        </w:rPr>
      </w:pPr>
      <w:r w:rsidRPr="003D2D6A">
        <w:rPr>
          <w:b/>
          <w:bCs/>
        </w:rPr>
        <w:t>Missing data handling: Multiple imputation for sensitivity analysis.</w:t>
      </w:r>
    </w:p>
    <w:p w14:paraId="64F1D932" w14:textId="53EE24FF" w:rsidR="004E6809" w:rsidRPr="003D2D6A" w:rsidRDefault="004E6809" w:rsidP="003D2D6A"/>
    <w:sectPr w:rsidR="004E6809" w:rsidRPr="003D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1E45"/>
    <w:multiLevelType w:val="multilevel"/>
    <w:tmpl w:val="EBDA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93A5A"/>
    <w:multiLevelType w:val="multilevel"/>
    <w:tmpl w:val="B82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1035"/>
    <w:multiLevelType w:val="multilevel"/>
    <w:tmpl w:val="059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F6401"/>
    <w:multiLevelType w:val="multilevel"/>
    <w:tmpl w:val="A1A0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00D2"/>
    <w:multiLevelType w:val="multilevel"/>
    <w:tmpl w:val="32B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E073D"/>
    <w:multiLevelType w:val="multilevel"/>
    <w:tmpl w:val="B90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41F23"/>
    <w:multiLevelType w:val="multilevel"/>
    <w:tmpl w:val="6BC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34847"/>
    <w:multiLevelType w:val="multilevel"/>
    <w:tmpl w:val="3A5E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B0BDE"/>
    <w:multiLevelType w:val="multilevel"/>
    <w:tmpl w:val="E8E6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A3E7F"/>
    <w:multiLevelType w:val="multilevel"/>
    <w:tmpl w:val="C1B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C75AA"/>
    <w:multiLevelType w:val="multilevel"/>
    <w:tmpl w:val="741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C3A"/>
    <w:multiLevelType w:val="multilevel"/>
    <w:tmpl w:val="A23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F1ABB"/>
    <w:multiLevelType w:val="multilevel"/>
    <w:tmpl w:val="6D80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A29F8"/>
    <w:multiLevelType w:val="multilevel"/>
    <w:tmpl w:val="A72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435AB"/>
    <w:multiLevelType w:val="multilevel"/>
    <w:tmpl w:val="617C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F6BAF"/>
    <w:multiLevelType w:val="multilevel"/>
    <w:tmpl w:val="D0E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73A4B"/>
    <w:multiLevelType w:val="multilevel"/>
    <w:tmpl w:val="28A83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45625"/>
    <w:multiLevelType w:val="multilevel"/>
    <w:tmpl w:val="45D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94290"/>
    <w:multiLevelType w:val="multilevel"/>
    <w:tmpl w:val="8A4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011F1"/>
    <w:multiLevelType w:val="multilevel"/>
    <w:tmpl w:val="D62E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61BE5"/>
    <w:multiLevelType w:val="multilevel"/>
    <w:tmpl w:val="C8B8E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E31FF"/>
    <w:multiLevelType w:val="multilevel"/>
    <w:tmpl w:val="80B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66CA1"/>
    <w:multiLevelType w:val="multilevel"/>
    <w:tmpl w:val="5B3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8592E"/>
    <w:multiLevelType w:val="multilevel"/>
    <w:tmpl w:val="1F4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37B17"/>
    <w:multiLevelType w:val="multilevel"/>
    <w:tmpl w:val="F9E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D492C"/>
    <w:multiLevelType w:val="multilevel"/>
    <w:tmpl w:val="CEA2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67CBC"/>
    <w:multiLevelType w:val="multilevel"/>
    <w:tmpl w:val="2BC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4D515E"/>
    <w:multiLevelType w:val="multilevel"/>
    <w:tmpl w:val="794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75F3E"/>
    <w:multiLevelType w:val="multilevel"/>
    <w:tmpl w:val="435E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93B3F"/>
    <w:multiLevelType w:val="multilevel"/>
    <w:tmpl w:val="2434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F253A"/>
    <w:multiLevelType w:val="multilevel"/>
    <w:tmpl w:val="AD24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20D44"/>
    <w:multiLevelType w:val="multilevel"/>
    <w:tmpl w:val="566E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F3EA4"/>
    <w:multiLevelType w:val="multilevel"/>
    <w:tmpl w:val="A08E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C71AD"/>
    <w:multiLevelType w:val="multilevel"/>
    <w:tmpl w:val="6EA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33984"/>
    <w:multiLevelType w:val="multilevel"/>
    <w:tmpl w:val="78A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34889"/>
    <w:multiLevelType w:val="multilevel"/>
    <w:tmpl w:val="CDA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A70F8"/>
    <w:multiLevelType w:val="multilevel"/>
    <w:tmpl w:val="48D2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E0EEB"/>
    <w:multiLevelType w:val="multilevel"/>
    <w:tmpl w:val="F2D8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B0CCF"/>
    <w:multiLevelType w:val="multilevel"/>
    <w:tmpl w:val="3DD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057722">
    <w:abstractNumId w:val="13"/>
  </w:num>
  <w:num w:numId="2" w16cid:durableId="1032611123">
    <w:abstractNumId w:val="33"/>
  </w:num>
  <w:num w:numId="3" w16cid:durableId="1135567147">
    <w:abstractNumId w:val="5"/>
  </w:num>
  <w:num w:numId="4" w16cid:durableId="1145318602">
    <w:abstractNumId w:val="25"/>
  </w:num>
  <w:num w:numId="5" w16cid:durableId="1694263252">
    <w:abstractNumId w:val="2"/>
  </w:num>
  <w:num w:numId="6" w16cid:durableId="975641556">
    <w:abstractNumId w:val="29"/>
  </w:num>
  <w:num w:numId="7" w16cid:durableId="1993212563">
    <w:abstractNumId w:val="15"/>
  </w:num>
  <w:num w:numId="8" w16cid:durableId="707069553">
    <w:abstractNumId w:val="31"/>
  </w:num>
  <w:num w:numId="9" w16cid:durableId="1293634591">
    <w:abstractNumId w:val="20"/>
  </w:num>
  <w:num w:numId="10" w16cid:durableId="1044519870">
    <w:abstractNumId w:val="36"/>
  </w:num>
  <w:num w:numId="11" w16cid:durableId="1920872120">
    <w:abstractNumId w:val="27"/>
  </w:num>
  <w:num w:numId="12" w16cid:durableId="1616713700">
    <w:abstractNumId w:val="35"/>
  </w:num>
  <w:num w:numId="13" w16cid:durableId="1241255518">
    <w:abstractNumId w:val="11"/>
  </w:num>
  <w:num w:numId="14" w16cid:durableId="1115251935">
    <w:abstractNumId w:val="18"/>
  </w:num>
  <w:num w:numId="15" w16cid:durableId="1681420905">
    <w:abstractNumId w:val="1"/>
  </w:num>
  <w:num w:numId="16" w16cid:durableId="1133060490">
    <w:abstractNumId w:val="28"/>
  </w:num>
  <w:num w:numId="17" w16cid:durableId="970209837">
    <w:abstractNumId w:val="21"/>
  </w:num>
  <w:num w:numId="18" w16cid:durableId="1654528937">
    <w:abstractNumId w:val="37"/>
  </w:num>
  <w:num w:numId="19" w16cid:durableId="482625652">
    <w:abstractNumId w:val="22"/>
  </w:num>
  <w:num w:numId="20" w16cid:durableId="1234119332">
    <w:abstractNumId w:val="16"/>
  </w:num>
  <w:num w:numId="21" w16cid:durableId="1277326145">
    <w:abstractNumId w:val="0"/>
  </w:num>
  <w:num w:numId="22" w16cid:durableId="791751490">
    <w:abstractNumId w:val="24"/>
  </w:num>
  <w:num w:numId="23" w16cid:durableId="739058296">
    <w:abstractNumId w:val="10"/>
  </w:num>
  <w:num w:numId="24" w16cid:durableId="816000181">
    <w:abstractNumId w:val="23"/>
  </w:num>
  <w:num w:numId="25" w16cid:durableId="290601510">
    <w:abstractNumId w:val="17"/>
  </w:num>
  <w:num w:numId="26" w16cid:durableId="1152798119">
    <w:abstractNumId w:val="38"/>
  </w:num>
  <w:num w:numId="27" w16cid:durableId="1009016380">
    <w:abstractNumId w:val="14"/>
  </w:num>
  <w:num w:numId="28" w16cid:durableId="322049606">
    <w:abstractNumId w:val="30"/>
  </w:num>
  <w:num w:numId="29" w16cid:durableId="842089293">
    <w:abstractNumId w:val="6"/>
  </w:num>
  <w:num w:numId="30" w16cid:durableId="1599214021">
    <w:abstractNumId w:val="12"/>
  </w:num>
  <w:num w:numId="31" w16cid:durableId="1689674403">
    <w:abstractNumId w:val="7"/>
  </w:num>
  <w:num w:numId="32" w16cid:durableId="1523712957">
    <w:abstractNumId w:val="19"/>
  </w:num>
  <w:num w:numId="33" w16cid:durableId="1944217707">
    <w:abstractNumId w:val="9"/>
  </w:num>
  <w:num w:numId="34" w16cid:durableId="643437464">
    <w:abstractNumId w:val="3"/>
  </w:num>
  <w:num w:numId="35" w16cid:durableId="792016322">
    <w:abstractNumId w:val="26"/>
  </w:num>
  <w:num w:numId="36" w16cid:durableId="599676670">
    <w:abstractNumId w:val="4"/>
  </w:num>
  <w:num w:numId="37" w16cid:durableId="668630744">
    <w:abstractNumId w:val="8"/>
  </w:num>
  <w:num w:numId="38" w16cid:durableId="1779524600">
    <w:abstractNumId w:val="34"/>
  </w:num>
  <w:num w:numId="39" w16cid:durableId="89157457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09"/>
    <w:rsid w:val="002275E5"/>
    <w:rsid w:val="00283B29"/>
    <w:rsid w:val="00293F82"/>
    <w:rsid w:val="003A51D7"/>
    <w:rsid w:val="003D2D6A"/>
    <w:rsid w:val="003F3324"/>
    <w:rsid w:val="00411A8C"/>
    <w:rsid w:val="004E6809"/>
    <w:rsid w:val="005D52AB"/>
    <w:rsid w:val="00610898"/>
    <w:rsid w:val="006765E8"/>
    <w:rsid w:val="006864F0"/>
    <w:rsid w:val="00735F67"/>
    <w:rsid w:val="00744AF7"/>
    <w:rsid w:val="007A2A66"/>
    <w:rsid w:val="00867229"/>
    <w:rsid w:val="008A5597"/>
    <w:rsid w:val="00961CFE"/>
    <w:rsid w:val="00AB1FC5"/>
    <w:rsid w:val="00B70EB9"/>
    <w:rsid w:val="00C03277"/>
    <w:rsid w:val="00DB7261"/>
    <w:rsid w:val="00E22CF3"/>
    <w:rsid w:val="00F42889"/>
    <w:rsid w:val="00FC3E4B"/>
    <w:rsid w:val="00FD7044"/>
    <w:rsid w:val="00FE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571C"/>
  <w15:chartTrackingRefBased/>
  <w15:docId w15:val="{56F340C9-B6A0-4C2D-950C-A8249990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809"/>
    <w:rPr>
      <w:rFonts w:eastAsiaTheme="majorEastAsia" w:cstheme="majorBidi"/>
      <w:color w:val="272727" w:themeColor="text1" w:themeTint="D8"/>
    </w:rPr>
  </w:style>
  <w:style w:type="paragraph" w:styleId="Title">
    <w:name w:val="Title"/>
    <w:basedOn w:val="Normal"/>
    <w:next w:val="Normal"/>
    <w:link w:val="TitleChar"/>
    <w:uiPriority w:val="10"/>
    <w:qFormat/>
    <w:rsid w:val="004E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809"/>
    <w:pPr>
      <w:spacing w:before="160"/>
      <w:jc w:val="center"/>
    </w:pPr>
    <w:rPr>
      <w:i/>
      <w:iCs/>
      <w:color w:val="404040" w:themeColor="text1" w:themeTint="BF"/>
    </w:rPr>
  </w:style>
  <w:style w:type="character" w:customStyle="1" w:styleId="QuoteChar">
    <w:name w:val="Quote Char"/>
    <w:basedOn w:val="DefaultParagraphFont"/>
    <w:link w:val="Quote"/>
    <w:uiPriority w:val="29"/>
    <w:rsid w:val="004E6809"/>
    <w:rPr>
      <w:i/>
      <w:iCs/>
      <w:color w:val="404040" w:themeColor="text1" w:themeTint="BF"/>
    </w:rPr>
  </w:style>
  <w:style w:type="paragraph" w:styleId="ListParagraph">
    <w:name w:val="List Paragraph"/>
    <w:basedOn w:val="Normal"/>
    <w:uiPriority w:val="34"/>
    <w:qFormat/>
    <w:rsid w:val="004E6809"/>
    <w:pPr>
      <w:ind w:left="720"/>
      <w:contextualSpacing/>
    </w:pPr>
  </w:style>
  <w:style w:type="character" w:styleId="IntenseEmphasis">
    <w:name w:val="Intense Emphasis"/>
    <w:basedOn w:val="DefaultParagraphFont"/>
    <w:uiPriority w:val="21"/>
    <w:qFormat/>
    <w:rsid w:val="004E6809"/>
    <w:rPr>
      <w:i/>
      <w:iCs/>
      <w:color w:val="0F4761" w:themeColor="accent1" w:themeShade="BF"/>
    </w:rPr>
  </w:style>
  <w:style w:type="paragraph" w:styleId="IntenseQuote">
    <w:name w:val="Intense Quote"/>
    <w:basedOn w:val="Normal"/>
    <w:next w:val="Normal"/>
    <w:link w:val="IntenseQuoteChar"/>
    <w:uiPriority w:val="30"/>
    <w:qFormat/>
    <w:rsid w:val="004E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809"/>
    <w:rPr>
      <w:i/>
      <w:iCs/>
      <w:color w:val="0F4761" w:themeColor="accent1" w:themeShade="BF"/>
    </w:rPr>
  </w:style>
  <w:style w:type="character" w:styleId="IntenseReference">
    <w:name w:val="Intense Reference"/>
    <w:basedOn w:val="DefaultParagraphFont"/>
    <w:uiPriority w:val="32"/>
    <w:qFormat/>
    <w:rsid w:val="004E6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79627">
      <w:bodyDiv w:val="1"/>
      <w:marLeft w:val="0"/>
      <w:marRight w:val="0"/>
      <w:marTop w:val="0"/>
      <w:marBottom w:val="0"/>
      <w:divBdr>
        <w:top w:val="none" w:sz="0" w:space="0" w:color="auto"/>
        <w:left w:val="none" w:sz="0" w:space="0" w:color="auto"/>
        <w:bottom w:val="none" w:sz="0" w:space="0" w:color="auto"/>
        <w:right w:val="none" w:sz="0" w:space="0" w:color="auto"/>
      </w:divBdr>
      <w:divsChild>
        <w:div w:id="1754353723">
          <w:marLeft w:val="0"/>
          <w:marRight w:val="0"/>
          <w:marTop w:val="0"/>
          <w:marBottom w:val="0"/>
          <w:divBdr>
            <w:top w:val="none" w:sz="0" w:space="0" w:color="auto"/>
            <w:left w:val="none" w:sz="0" w:space="0" w:color="auto"/>
            <w:bottom w:val="none" w:sz="0" w:space="0" w:color="auto"/>
            <w:right w:val="none" w:sz="0" w:space="0" w:color="auto"/>
          </w:divBdr>
        </w:div>
      </w:divsChild>
    </w:div>
    <w:div w:id="177038882">
      <w:bodyDiv w:val="1"/>
      <w:marLeft w:val="0"/>
      <w:marRight w:val="0"/>
      <w:marTop w:val="0"/>
      <w:marBottom w:val="0"/>
      <w:divBdr>
        <w:top w:val="none" w:sz="0" w:space="0" w:color="auto"/>
        <w:left w:val="none" w:sz="0" w:space="0" w:color="auto"/>
        <w:bottom w:val="none" w:sz="0" w:space="0" w:color="auto"/>
        <w:right w:val="none" w:sz="0" w:space="0" w:color="auto"/>
      </w:divBdr>
    </w:div>
    <w:div w:id="779954860">
      <w:bodyDiv w:val="1"/>
      <w:marLeft w:val="0"/>
      <w:marRight w:val="0"/>
      <w:marTop w:val="0"/>
      <w:marBottom w:val="0"/>
      <w:divBdr>
        <w:top w:val="none" w:sz="0" w:space="0" w:color="auto"/>
        <w:left w:val="none" w:sz="0" w:space="0" w:color="auto"/>
        <w:bottom w:val="none" w:sz="0" w:space="0" w:color="auto"/>
        <w:right w:val="none" w:sz="0" w:space="0" w:color="auto"/>
      </w:divBdr>
    </w:div>
    <w:div w:id="829100199">
      <w:bodyDiv w:val="1"/>
      <w:marLeft w:val="0"/>
      <w:marRight w:val="0"/>
      <w:marTop w:val="0"/>
      <w:marBottom w:val="0"/>
      <w:divBdr>
        <w:top w:val="none" w:sz="0" w:space="0" w:color="auto"/>
        <w:left w:val="none" w:sz="0" w:space="0" w:color="auto"/>
        <w:bottom w:val="none" w:sz="0" w:space="0" w:color="auto"/>
        <w:right w:val="none" w:sz="0" w:space="0" w:color="auto"/>
      </w:divBdr>
    </w:div>
    <w:div w:id="1130629176">
      <w:bodyDiv w:val="1"/>
      <w:marLeft w:val="0"/>
      <w:marRight w:val="0"/>
      <w:marTop w:val="0"/>
      <w:marBottom w:val="0"/>
      <w:divBdr>
        <w:top w:val="none" w:sz="0" w:space="0" w:color="auto"/>
        <w:left w:val="none" w:sz="0" w:space="0" w:color="auto"/>
        <w:bottom w:val="none" w:sz="0" w:space="0" w:color="auto"/>
        <w:right w:val="none" w:sz="0" w:space="0" w:color="auto"/>
      </w:divBdr>
    </w:div>
    <w:div w:id="1224298270">
      <w:bodyDiv w:val="1"/>
      <w:marLeft w:val="0"/>
      <w:marRight w:val="0"/>
      <w:marTop w:val="0"/>
      <w:marBottom w:val="0"/>
      <w:divBdr>
        <w:top w:val="none" w:sz="0" w:space="0" w:color="auto"/>
        <w:left w:val="none" w:sz="0" w:space="0" w:color="auto"/>
        <w:bottom w:val="none" w:sz="0" w:space="0" w:color="auto"/>
        <w:right w:val="none" w:sz="0" w:space="0" w:color="auto"/>
      </w:divBdr>
    </w:div>
    <w:div w:id="1677220604">
      <w:bodyDiv w:val="1"/>
      <w:marLeft w:val="0"/>
      <w:marRight w:val="0"/>
      <w:marTop w:val="0"/>
      <w:marBottom w:val="0"/>
      <w:divBdr>
        <w:top w:val="none" w:sz="0" w:space="0" w:color="auto"/>
        <w:left w:val="none" w:sz="0" w:space="0" w:color="auto"/>
        <w:bottom w:val="none" w:sz="0" w:space="0" w:color="auto"/>
        <w:right w:val="none" w:sz="0" w:space="0" w:color="auto"/>
      </w:divBdr>
      <w:divsChild>
        <w:div w:id="2074351333">
          <w:marLeft w:val="0"/>
          <w:marRight w:val="0"/>
          <w:marTop w:val="0"/>
          <w:marBottom w:val="0"/>
          <w:divBdr>
            <w:top w:val="none" w:sz="0" w:space="0" w:color="auto"/>
            <w:left w:val="none" w:sz="0" w:space="0" w:color="auto"/>
            <w:bottom w:val="none" w:sz="0" w:space="0" w:color="auto"/>
            <w:right w:val="none" w:sz="0" w:space="0" w:color="auto"/>
          </w:divBdr>
        </w:div>
      </w:divsChild>
    </w:div>
    <w:div w:id="198423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821</Words>
  <Characters>4683</Characters>
  <Application>Microsoft Office Word</Application>
  <DocSecurity>4</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Taha</dc:creator>
  <cp:keywords/>
  <dc:description/>
  <cp:lastModifiedBy>Rebecca Taha</cp:lastModifiedBy>
  <cp:revision>11</cp:revision>
  <dcterms:created xsi:type="dcterms:W3CDTF">2025-03-11T20:46:00Z</dcterms:created>
  <dcterms:modified xsi:type="dcterms:W3CDTF">2025-03-25T03:40:00Z</dcterms:modified>
</cp:coreProperties>
</file>