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5202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 xml:space="preserve">Statistical Analysis Plan (SAP) for Phase 2 </w:t>
      </w:r>
      <w:proofErr w:type="spellStart"/>
      <w:r w:rsidRPr="006927E5">
        <w:rPr>
          <w:b/>
          <w:bCs/>
        </w:rPr>
        <w:t>Ilizomab</w:t>
      </w:r>
      <w:proofErr w:type="spellEnd"/>
      <w:r w:rsidRPr="006927E5">
        <w:rPr>
          <w:b/>
          <w:bCs/>
        </w:rPr>
        <w:t xml:space="preserve"> Study</w:t>
      </w:r>
    </w:p>
    <w:p w14:paraId="0BB8EEFF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>1. Introduction</w:t>
      </w:r>
    </w:p>
    <w:p w14:paraId="50B55F10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 xml:space="preserve">This Statistical Analysis Plan (SAP) describes the planned statistical analyses for the Phase 2 clinical trial evaluating the safety and efficacy of </w:t>
      </w:r>
      <w:proofErr w:type="spellStart"/>
      <w:r w:rsidRPr="006927E5">
        <w:rPr>
          <w:b/>
          <w:bCs/>
        </w:rPr>
        <w:t>Ilizomab</w:t>
      </w:r>
      <w:proofErr w:type="spellEnd"/>
      <w:r w:rsidRPr="006927E5">
        <w:rPr>
          <w:b/>
          <w:bCs/>
        </w:rPr>
        <w:t xml:space="preserve"> in patients with moderate to severe Systemic Lupus Erythematosus (SLE). This SAP is designed in accordance with International Council for Harmonization (ICH) guidelines and regulatory requirements.</w:t>
      </w:r>
    </w:p>
    <w:p w14:paraId="3602451D" w14:textId="0B1C3C3F" w:rsidR="0026609C" w:rsidRDefault="006927E5" w:rsidP="006927E5">
      <w:pPr>
        <w:rPr>
          <w:b/>
          <w:bCs/>
        </w:rPr>
      </w:pPr>
      <w:r w:rsidRPr="006927E5">
        <w:rPr>
          <w:b/>
          <w:bCs/>
        </w:rPr>
        <w:t>2.</w:t>
      </w:r>
      <w:r w:rsidR="0026609C">
        <w:rPr>
          <w:b/>
          <w:bCs/>
        </w:rPr>
        <w:t xml:space="preserve"> Study Design</w:t>
      </w:r>
      <w:r w:rsidRPr="006927E5">
        <w:rPr>
          <w:b/>
          <w:bCs/>
        </w:rPr>
        <w:t xml:space="preserve"> </w:t>
      </w:r>
    </w:p>
    <w:p w14:paraId="7AAD2FFC" w14:textId="77777777" w:rsidR="00D965A7" w:rsidRPr="003D2D6A" w:rsidRDefault="00D965A7" w:rsidP="00D965A7">
      <w:pPr>
        <w:numPr>
          <w:ilvl w:val="0"/>
          <w:numId w:val="17"/>
        </w:numPr>
        <w:rPr>
          <w:b/>
          <w:bCs/>
        </w:rPr>
      </w:pPr>
      <w:r w:rsidRPr="003D2D6A">
        <w:rPr>
          <w:b/>
          <w:bCs/>
        </w:rPr>
        <w:t>Type: Multicenter, randomized, double-blind, placebo-controlled trial</w:t>
      </w:r>
    </w:p>
    <w:p w14:paraId="6116D433" w14:textId="2C06A482" w:rsidR="00D965A7" w:rsidRPr="003D2D6A" w:rsidRDefault="00D965A7" w:rsidP="00D965A7">
      <w:pPr>
        <w:numPr>
          <w:ilvl w:val="0"/>
          <w:numId w:val="17"/>
        </w:numPr>
        <w:rPr>
          <w:b/>
          <w:bCs/>
        </w:rPr>
      </w:pPr>
      <w:r w:rsidRPr="003D2D6A">
        <w:rPr>
          <w:b/>
          <w:bCs/>
        </w:rPr>
        <w:t xml:space="preserve">Sample Size: Approximately 150 participants, randomized </w:t>
      </w:r>
      <w:r w:rsidR="000D3579">
        <w:rPr>
          <w:b/>
          <w:bCs/>
        </w:rPr>
        <w:t>1</w:t>
      </w:r>
      <w:r w:rsidRPr="003D2D6A">
        <w:rPr>
          <w:b/>
          <w:bCs/>
        </w:rPr>
        <w:t>:1 (</w:t>
      </w:r>
      <w:proofErr w:type="spellStart"/>
      <w:r w:rsidRPr="003D2D6A">
        <w:rPr>
          <w:b/>
          <w:bCs/>
        </w:rPr>
        <w:t>Ilizomab:Placebo</w:t>
      </w:r>
      <w:proofErr w:type="spellEnd"/>
      <w:r w:rsidRPr="003D2D6A">
        <w:rPr>
          <w:b/>
          <w:bCs/>
        </w:rPr>
        <w:t>)</w:t>
      </w:r>
    </w:p>
    <w:p w14:paraId="43D799E5" w14:textId="77777777" w:rsidR="00D965A7" w:rsidRPr="003D2D6A" w:rsidRDefault="00D965A7" w:rsidP="00D965A7">
      <w:pPr>
        <w:numPr>
          <w:ilvl w:val="0"/>
          <w:numId w:val="17"/>
        </w:numPr>
        <w:rPr>
          <w:b/>
          <w:bCs/>
        </w:rPr>
      </w:pPr>
      <w:r w:rsidRPr="003D2D6A">
        <w:rPr>
          <w:b/>
          <w:bCs/>
        </w:rPr>
        <w:t>Duration: 24 weeks of treatment + 12 weeks of follow-up</w:t>
      </w:r>
    </w:p>
    <w:p w14:paraId="4137B936" w14:textId="77777777" w:rsidR="00D965A7" w:rsidRPr="003D2D6A" w:rsidRDefault="00D965A7" w:rsidP="00D965A7">
      <w:pPr>
        <w:numPr>
          <w:ilvl w:val="0"/>
          <w:numId w:val="17"/>
        </w:numPr>
        <w:rPr>
          <w:b/>
          <w:bCs/>
        </w:rPr>
      </w:pPr>
      <w:r w:rsidRPr="003D2D6A">
        <w:rPr>
          <w:b/>
          <w:bCs/>
        </w:rPr>
        <w:t xml:space="preserve">Dosing: </w:t>
      </w:r>
      <w:proofErr w:type="spellStart"/>
      <w:r w:rsidRPr="003D2D6A">
        <w:rPr>
          <w:b/>
          <w:bCs/>
        </w:rPr>
        <w:t>Ilizomab</w:t>
      </w:r>
      <w:proofErr w:type="spellEnd"/>
      <w:r w:rsidRPr="003D2D6A">
        <w:rPr>
          <w:b/>
          <w:bCs/>
        </w:rPr>
        <w:t xml:space="preserve"> administered [route, frequency, and dosage]</w:t>
      </w:r>
    </w:p>
    <w:p w14:paraId="4580D661" w14:textId="11C9305A" w:rsidR="00D965A7" w:rsidRDefault="00D965A7" w:rsidP="00D965A7">
      <w:pPr>
        <w:rPr>
          <w:b/>
          <w:bCs/>
        </w:rPr>
      </w:pPr>
      <w:r w:rsidRPr="003D2D6A">
        <w:rPr>
          <w:b/>
          <w:bCs/>
        </w:rPr>
        <w:t>Primary Endpoint Assessment: Week 24</w:t>
      </w:r>
    </w:p>
    <w:p w14:paraId="590CCC04" w14:textId="6689B898" w:rsidR="006927E5" w:rsidRPr="006927E5" w:rsidRDefault="0026609C" w:rsidP="006927E5">
      <w:pPr>
        <w:rPr>
          <w:b/>
          <w:bCs/>
        </w:rPr>
      </w:pPr>
      <w:r>
        <w:rPr>
          <w:b/>
          <w:bCs/>
        </w:rPr>
        <w:t xml:space="preserve">3. </w:t>
      </w:r>
      <w:r w:rsidR="006927E5" w:rsidRPr="006927E5">
        <w:rPr>
          <w:b/>
          <w:bCs/>
        </w:rPr>
        <w:t>Study Objectives and Endpoints</w:t>
      </w:r>
    </w:p>
    <w:p w14:paraId="5AFBA22C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>Primary Objective:</w:t>
      </w:r>
    </w:p>
    <w:p w14:paraId="02896155" w14:textId="77777777" w:rsidR="006927E5" w:rsidRPr="006927E5" w:rsidRDefault="006927E5" w:rsidP="006927E5">
      <w:pPr>
        <w:numPr>
          <w:ilvl w:val="0"/>
          <w:numId w:val="5"/>
        </w:numPr>
        <w:rPr>
          <w:b/>
          <w:bCs/>
        </w:rPr>
      </w:pPr>
      <w:r w:rsidRPr="006927E5">
        <w:rPr>
          <w:b/>
          <w:bCs/>
        </w:rPr>
        <w:t xml:space="preserve">To evaluate the efficacy of </w:t>
      </w:r>
      <w:proofErr w:type="spellStart"/>
      <w:r w:rsidRPr="006927E5">
        <w:rPr>
          <w:b/>
          <w:bCs/>
        </w:rPr>
        <w:t>Ilizomab</w:t>
      </w:r>
      <w:proofErr w:type="spellEnd"/>
      <w:r w:rsidRPr="006927E5">
        <w:rPr>
          <w:b/>
          <w:bCs/>
        </w:rPr>
        <w:t xml:space="preserve"> in reducing disease activity in patients with moderate to severe SLE using the Systemic Lupus Erythematosus Responder Index (SRI-4) at Week 24.</w:t>
      </w:r>
    </w:p>
    <w:p w14:paraId="6B67AA35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>Secondary Objectives:</w:t>
      </w:r>
    </w:p>
    <w:p w14:paraId="02F9932B" w14:textId="77777777" w:rsidR="006927E5" w:rsidRPr="006927E5" w:rsidRDefault="006927E5" w:rsidP="006927E5">
      <w:pPr>
        <w:numPr>
          <w:ilvl w:val="0"/>
          <w:numId w:val="6"/>
        </w:numPr>
        <w:rPr>
          <w:b/>
          <w:bCs/>
        </w:rPr>
      </w:pPr>
      <w:r w:rsidRPr="006927E5">
        <w:rPr>
          <w:b/>
          <w:bCs/>
        </w:rPr>
        <w:t>Assess changes in SLE Disease Activity Index 2000 (SLEDAI-2K) scores from baseline.</w:t>
      </w:r>
    </w:p>
    <w:p w14:paraId="3B8F8FFE" w14:textId="77777777" w:rsidR="006927E5" w:rsidRPr="006927E5" w:rsidRDefault="006927E5" w:rsidP="006927E5">
      <w:pPr>
        <w:numPr>
          <w:ilvl w:val="0"/>
          <w:numId w:val="6"/>
        </w:numPr>
        <w:rPr>
          <w:b/>
          <w:bCs/>
        </w:rPr>
      </w:pPr>
      <w:r w:rsidRPr="006927E5">
        <w:rPr>
          <w:b/>
          <w:bCs/>
        </w:rPr>
        <w:t>Evaluate the impact of treatment on biomarkers associated with SLE activity.</w:t>
      </w:r>
    </w:p>
    <w:p w14:paraId="0D93E609" w14:textId="77777777" w:rsidR="006927E5" w:rsidRPr="006927E5" w:rsidRDefault="006927E5" w:rsidP="006927E5">
      <w:pPr>
        <w:numPr>
          <w:ilvl w:val="0"/>
          <w:numId w:val="6"/>
        </w:numPr>
        <w:rPr>
          <w:b/>
          <w:bCs/>
        </w:rPr>
      </w:pPr>
      <w:r w:rsidRPr="006927E5">
        <w:rPr>
          <w:b/>
          <w:bCs/>
        </w:rPr>
        <w:t>Assess improvements in patient-reported outcomes (PROs) using validated instruments.</w:t>
      </w:r>
    </w:p>
    <w:p w14:paraId="7DEC9AD1" w14:textId="77777777" w:rsidR="006927E5" w:rsidRPr="006927E5" w:rsidRDefault="006927E5" w:rsidP="006927E5">
      <w:pPr>
        <w:numPr>
          <w:ilvl w:val="0"/>
          <w:numId w:val="6"/>
        </w:numPr>
        <w:rPr>
          <w:b/>
          <w:bCs/>
        </w:rPr>
      </w:pPr>
      <w:r w:rsidRPr="006927E5">
        <w:rPr>
          <w:b/>
          <w:bCs/>
        </w:rPr>
        <w:t xml:space="preserve">Evaluate the safety and tolerability of </w:t>
      </w:r>
      <w:proofErr w:type="spellStart"/>
      <w:r w:rsidRPr="006927E5">
        <w:rPr>
          <w:b/>
          <w:bCs/>
        </w:rPr>
        <w:t>Ilizomab</w:t>
      </w:r>
      <w:proofErr w:type="spellEnd"/>
      <w:r w:rsidRPr="006927E5">
        <w:rPr>
          <w:b/>
          <w:bCs/>
        </w:rPr>
        <w:t xml:space="preserve"> over the study duration, including rates of adverse events (AEs), serious adverse events (SAEs), and immunogenicity.</w:t>
      </w:r>
    </w:p>
    <w:p w14:paraId="78FC42ED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>Primary Endpoint:</w:t>
      </w:r>
    </w:p>
    <w:p w14:paraId="00A079CF" w14:textId="77777777" w:rsidR="006927E5" w:rsidRPr="006927E5" w:rsidRDefault="006927E5" w:rsidP="006927E5">
      <w:pPr>
        <w:numPr>
          <w:ilvl w:val="0"/>
          <w:numId w:val="7"/>
        </w:numPr>
        <w:rPr>
          <w:b/>
          <w:bCs/>
        </w:rPr>
      </w:pPr>
      <w:r w:rsidRPr="006927E5">
        <w:rPr>
          <w:b/>
          <w:bCs/>
        </w:rPr>
        <w:lastRenderedPageBreak/>
        <w:t>Proportion of participants achieving SRI-4 response at Week 24.</w:t>
      </w:r>
    </w:p>
    <w:p w14:paraId="276DA97B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>Secondary Endpoints:</w:t>
      </w:r>
    </w:p>
    <w:p w14:paraId="350B9EC4" w14:textId="77777777" w:rsidR="006927E5" w:rsidRPr="006927E5" w:rsidRDefault="006927E5" w:rsidP="006927E5">
      <w:pPr>
        <w:numPr>
          <w:ilvl w:val="0"/>
          <w:numId w:val="8"/>
        </w:numPr>
        <w:rPr>
          <w:b/>
          <w:bCs/>
        </w:rPr>
      </w:pPr>
      <w:r w:rsidRPr="006927E5">
        <w:rPr>
          <w:b/>
          <w:bCs/>
        </w:rPr>
        <w:t>Mean change in SLEDAI-2K score from baseline.</w:t>
      </w:r>
    </w:p>
    <w:p w14:paraId="19D68455" w14:textId="77777777" w:rsidR="006927E5" w:rsidRPr="006927E5" w:rsidRDefault="006927E5" w:rsidP="006927E5">
      <w:pPr>
        <w:numPr>
          <w:ilvl w:val="0"/>
          <w:numId w:val="8"/>
        </w:numPr>
        <w:rPr>
          <w:b/>
          <w:bCs/>
        </w:rPr>
      </w:pPr>
      <w:r w:rsidRPr="006927E5">
        <w:rPr>
          <w:b/>
          <w:bCs/>
        </w:rPr>
        <w:t>Proportion of patients achieving low disease activity state.</w:t>
      </w:r>
    </w:p>
    <w:p w14:paraId="559F78C6" w14:textId="77777777" w:rsidR="006927E5" w:rsidRPr="006927E5" w:rsidRDefault="006927E5" w:rsidP="006927E5">
      <w:pPr>
        <w:numPr>
          <w:ilvl w:val="0"/>
          <w:numId w:val="8"/>
        </w:numPr>
        <w:rPr>
          <w:b/>
          <w:bCs/>
        </w:rPr>
      </w:pPr>
      <w:r w:rsidRPr="006927E5">
        <w:rPr>
          <w:b/>
          <w:bCs/>
        </w:rPr>
        <w:t>Corticosteroid tapering success (≤5 mg/day prednisone by Week 24).</w:t>
      </w:r>
    </w:p>
    <w:p w14:paraId="61E9157D" w14:textId="77777777" w:rsidR="006927E5" w:rsidRPr="006927E5" w:rsidRDefault="006927E5" w:rsidP="006927E5">
      <w:pPr>
        <w:numPr>
          <w:ilvl w:val="0"/>
          <w:numId w:val="8"/>
        </w:numPr>
        <w:rPr>
          <w:b/>
          <w:bCs/>
        </w:rPr>
      </w:pPr>
      <w:r w:rsidRPr="006927E5">
        <w:rPr>
          <w:b/>
          <w:bCs/>
        </w:rPr>
        <w:t>Incidence of treatment-emergent adverse events (TEAEs), serious adverse events (SAEs), and adverse events (AEs).</w:t>
      </w:r>
    </w:p>
    <w:p w14:paraId="45EA3E91" w14:textId="77777777" w:rsidR="006927E5" w:rsidRPr="006927E5" w:rsidRDefault="006927E5" w:rsidP="006927E5">
      <w:pPr>
        <w:numPr>
          <w:ilvl w:val="0"/>
          <w:numId w:val="8"/>
        </w:numPr>
        <w:rPr>
          <w:b/>
          <w:bCs/>
        </w:rPr>
      </w:pPr>
      <w:r w:rsidRPr="006927E5">
        <w:rPr>
          <w:b/>
          <w:bCs/>
        </w:rPr>
        <w:t>Rate of anti-drug antibody (ADA) development.</w:t>
      </w:r>
    </w:p>
    <w:p w14:paraId="466F1891" w14:textId="48C5DECA" w:rsidR="006927E5" w:rsidRPr="006927E5" w:rsidRDefault="00D965A7" w:rsidP="006927E5">
      <w:pPr>
        <w:rPr>
          <w:b/>
          <w:bCs/>
        </w:rPr>
      </w:pPr>
      <w:r>
        <w:rPr>
          <w:b/>
          <w:bCs/>
        </w:rPr>
        <w:t>4</w:t>
      </w:r>
      <w:r w:rsidR="006927E5" w:rsidRPr="006927E5">
        <w:rPr>
          <w:b/>
          <w:bCs/>
        </w:rPr>
        <w:t>. Analysis Populations</w:t>
      </w:r>
    </w:p>
    <w:p w14:paraId="2F0E4EFD" w14:textId="77777777" w:rsidR="006927E5" w:rsidRPr="006927E5" w:rsidRDefault="006927E5" w:rsidP="006927E5">
      <w:pPr>
        <w:numPr>
          <w:ilvl w:val="0"/>
          <w:numId w:val="9"/>
        </w:numPr>
        <w:rPr>
          <w:b/>
          <w:bCs/>
        </w:rPr>
      </w:pPr>
      <w:r w:rsidRPr="006927E5">
        <w:rPr>
          <w:b/>
          <w:bCs/>
        </w:rPr>
        <w:t>Intent-to-Treat (ITT) Population: All randomized participants.</w:t>
      </w:r>
    </w:p>
    <w:p w14:paraId="52F9115B" w14:textId="77777777" w:rsidR="006927E5" w:rsidRPr="006927E5" w:rsidRDefault="006927E5" w:rsidP="006927E5">
      <w:pPr>
        <w:numPr>
          <w:ilvl w:val="0"/>
          <w:numId w:val="9"/>
        </w:numPr>
        <w:rPr>
          <w:b/>
          <w:bCs/>
        </w:rPr>
      </w:pPr>
      <w:r w:rsidRPr="006927E5">
        <w:rPr>
          <w:b/>
          <w:bCs/>
        </w:rPr>
        <w:t>Per Protocol (PP) Population: Participants who adhere to study procedures without major protocol deviations.</w:t>
      </w:r>
    </w:p>
    <w:p w14:paraId="381BBAE8" w14:textId="77777777" w:rsidR="006927E5" w:rsidRPr="006927E5" w:rsidRDefault="006927E5" w:rsidP="006927E5">
      <w:pPr>
        <w:numPr>
          <w:ilvl w:val="0"/>
          <w:numId w:val="9"/>
        </w:numPr>
        <w:rPr>
          <w:b/>
          <w:bCs/>
        </w:rPr>
      </w:pPr>
      <w:r w:rsidRPr="006927E5">
        <w:rPr>
          <w:b/>
          <w:bCs/>
        </w:rPr>
        <w:t xml:space="preserve">Safety Population: All participants who receive at least one dose of </w:t>
      </w:r>
      <w:proofErr w:type="spellStart"/>
      <w:r w:rsidRPr="006927E5">
        <w:rPr>
          <w:b/>
          <w:bCs/>
        </w:rPr>
        <w:t>Ilizomab</w:t>
      </w:r>
      <w:proofErr w:type="spellEnd"/>
      <w:r w:rsidRPr="006927E5">
        <w:rPr>
          <w:b/>
          <w:bCs/>
        </w:rPr>
        <w:t>.</w:t>
      </w:r>
    </w:p>
    <w:p w14:paraId="1ADE30DF" w14:textId="3AC04BB3" w:rsidR="006927E5" w:rsidRPr="006927E5" w:rsidRDefault="00D965A7" w:rsidP="006927E5">
      <w:pPr>
        <w:rPr>
          <w:b/>
          <w:bCs/>
        </w:rPr>
      </w:pPr>
      <w:r>
        <w:rPr>
          <w:b/>
          <w:bCs/>
        </w:rPr>
        <w:t>5</w:t>
      </w:r>
      <w:r w:rsidR="006927E5" w:rsidRPr="006927E5">
        <w:rPr>
          <w:b/>
          <w:bCs/>
        </w:rPr>
        <w:t>. Statistical Methods</w:t>
      </w:r>
    </w:p>
    <w:p w14:paraId="5905A5A4" w14:textId="77777777" w:rsidR="006927E5" w:rsidRDefault="006927E5" w:rsidP="006927E5">
      <w:pPr>
        <w:rPr>
          <w:b/>
          <w:bCs/>
        </w:rPr>
      </w:pPr>
      <w:r w:rsidRPr="006927E5">
        <w:rPr>
          <w:b/>
          <w:bCs/>
        </w:rPr>
        <w:t>Primary Analysis:</w:t>
      </w:r>
    </w:p>
    <w:p w14:paraId="48B05B1F" w14:textId="77777777" w:rsidR="006927E5" w:rsidRPr="006927E5" w:rsidRDefault="006927E5" w:rsidP="006927E5">
      <w:pPr>
        <w:numPr>
          <w:ilvl w:val="0"/>
          <w:numId w:val="10"/>
        </w:numPr>
        <w:rPr>
          <w:b/>
          <w:bCs/>
        </w:rPr>
      </w:pPr>
      <w:r w:rsidRPr="006927E5">
        <w:rPr>
          <w:b/>
          <w:bCs/>
        </w:rPr>
        <w:t xml:space="preserve">A logistic regression model will be used to compare SRI-4 response rates between </w:t>
      </w:r>
      <w:proofErr w:type="spellStart"/>
      <w:r w:rsidRPr="006927E5">
        <w:rPr>
          <w:b/>
          <w:bCs/>
        </w:rPr>
        <w:t>Ilizomab</w:t>
      </w:r>
      <w:proofErr w:type="spellEnd"/>
      <w:r w:rsidRPr="006927E5">
        <w:rPr>
          <w:b/>
          <w:bCs/>
        </w:rPr>
        <w:t xml:space="preserve"> and placebo groups, adjusting for baseline disease activity, treatment arm, and key demographic factors.</w:t>
      </w:r>
    </w:p>
    <w:p w14:paraId="30A4863C" w14:textId="77777777" w:rsidR="006927E5" w:rsidRPr="006927E5" w:rsidRDefault="006927E5" w:rsidP="006927E5">
      <w:pPr>
        <w:numPr>
          <w:ilvl w:val="0"/>
          <w:numId w:val="10"/>
        </w:numPr>
        <w:rPr>
          <w:b/>
          <w:bCs/>
        </w:rPr>
      </w:pPr>
      <w:r w:rsidRPr="006927E5">
        <w:rPr>
          <w:b/>
          <w:bCs/>
        </w:rPr>
        <w:t>Significance Level (Alpha): 0.05 (two-sided).</w:t>
      </w:r>
    </w:p>
    <w:p w14:paraId="32BE7AB3" w14:textId="77777777" w:rsidR="006927E5" w:rsidRPr="006927E5" w:rsidRDefault="006927E5" w:rsidP="006927E5">
      <w:pPr>
        <w:numPr>
          <w:ilvl w:val="0"/>
          <w:numId w:val="10"/>
        </w:numPr>
        <w:rPr>
          <w:b/>
          <w:bCs/>
        </w:rPr>
      </w:pPr>
      <w:r w:rsidRPr="006927E5">
        <w:rPr>
          <w:b/>
          <w:bCs/>
        </w:rPr>
        <w:t>Power: The study is designed to have 80% power to detect a clinically meaningful difference in SRI-4 response between treatment arms, assuming a 20% difference in response rate.</w:t>
      </w:r>
    </w:p>
    <w:p w14:paraId="5075E2C5" w14:textId="77777777" w:rsidR="006927E5" w:rsidRPr="006927E5" w:rsidRDefault="006927E5" w:rsidP="006927E5">
      <w:pPr>
        <w:numPr>
          <w:ilvl w:val="0"/>
          <w:numId w:val="10"/>
        </w:numPr>
        <w:rPr>
          <w:b/>
          <w:bCs/>
        </w:rPr>
      </w:pPr>
      <w:r w:rsidRPr="006927E5">
        <w:rPr>
          <w:b/>
          <w:bCs/>
        </w:rPr>
        <w:t>Multiplicity Adjustment: To control for multiple comparisons due to the interim analysis, a Lan-</w:t>
      </w:r>
      <w:proofErr w:type="spellStart"/>
      <w:r w:rsidRPr="006927E5">
        <w:rPr>
          <w:b/>
          <w:bCs/>
        </w:rPr>
        <w:t>DeMets</w:t>
      </w:r>
      <w:proofErr w:type="spellEnd"/>
      <w:r w:rsidRPr="006927E5">
        <w:rPr>
          <w:b/>
          <w:bCs/>
        </w:rPr>
        <w:t xml:space="preserve"> spending function with an O'Brien-Fleming boundary will be used to adjust the alpha level across analyses.</w:t>
      </w:r>
    </w:p>
    <w:p w14:paraId="55896CD1" w14:textId="77777777" w:rsidR="006927E5" w:rsidRPr="006927E5" w:rsidRDefault="006927E5" w:rsidP="006927E5">
      <w:pPr>
        <w:rPr>
          <w:b/>
          <w:bCs/>
        </w:rPr>
      </w:pPr>
      <w:r w:rsidRPr="006927E5">
        <w:rPr>
          <w:b/>
          <w:bCs/>
        </w:rPr>
        <w:t>Secondary Analyses:</w:t>
      </w:r>
    </w:p>
    <w:p w14:paraId="1420722F" w14:textId="77777777" w:rsidR="006927E5" w:rsidRPr="006927E5" w:rsidRDefault="006927E5" w:rsidP="006927E5">
      <w:pPr>
        <w:numPr>
          <w:ilvl w:val="0"/>
          <w:numId w:val="11"/>
        </w:numPr>
        <w:rPr>
          <w:b/>
          <w:bCs/>
        </w:rPr>
      </w:pPr>
      <w:r w:rsidRPr="006927E5">
        <w:rPr>
          <w:b/>
          <w:bCs/>
        </w:rPr>
        <w:t>Mixed-effects models for repeated measures (MMRM) will assess changes in SLEDAI-2K over time.</w:t>
      </w:r>
    </w:p>
    <w:p w14:paraId="3BC929E6" w14:textId="77777777" w:rsidR="006927E5" w:rsidRPr="006927E5" w:rsidRDefault="006927E5" w:rsidP="006927E5">
      <w:pPr>
        <w:numPr>
          <w:ilvl w:val="0"/>
          <w:numId w:val="11"/>
        </w:numPr>
        <w:rPr>
          <w:b/>
          <w:bCs/>
        </w:rPr>
      </w:pPr>
      <w:r w:rsidRPr="006927E5">
        <w:rPr>
          <w:b/>
          <w:bCs/>
        </w:rPr>
        <w:t>Kaplan-Meier survival analysis will be used for time-to-response analyses.</w:t>
      </w:r>
    </w:p>
    <w:p w14:paraId="2F593891" w14:textId="77777777" w:rsidR="006927E5" w:rsidRPr="006927E5" w:rsidRDefault="006927E5" w:rsidP="006927E5">
      <w:pPr>
        <w:numPr>
          <w:ilvl w:val="0"/>
          <w:numId w:val="11"/>
        </w:numPr>
        <w:rPr>
          <w:b/>
          <w:bCs/>
        </w:rPr>
      </w:pPr>
      <w:r w:rsidRPr="006927E5">
        <w:rPr>
          <w:b/>
          <w:bCs/>
        </w:rPr>
        <w:lastRenderedPageBreak/>
        <w:t>Analysis of covariance (ANCOVA) will assess treatment effects on continuous endpoints.</w:t>
      </w:r>
    </w:p>
    <w:p w14:paraId="0CDBEE9E" w14:textId="6150AC1F" w:rsidR="006927E5" w:rsidRPr="006927E5" w:rsidRDefault="006A3A32" w:rsidP="006927E5">
      <w:pPr>
        <w:rPr>
          <w:b/>
          <w:bCs/>
        </w:rPr>
      </w:pPr>
      <w:r>
        <w:rPr>
          <w:b/>
          <w:bCs/>
        </w:rPr>
        <w:t>6</w:t>
      </w:r>
      <w:r w:rsidR="006927E5" w:rsidRPr="006927E5">
        <w:rPr>
          <w:b/>
          <w:bCs/>
        </w:rPr>
        <w:t>. Safety Analysis</w:t>
      </w:r>
    </w:p>
    <w:p w14:paraId="6C5DD200" w14:textId="77777777" w:rsidR="006927E5" w:rsidRPr="006927E5" w:rsidRDefault="006927E5" w:rsidP="006927E5">
      <w:pPr>
        <w:numPr>
          <w:ilvl w:val="0"/>
          <w:numId w:val="12"/>
        </w:numPr>
        <w:rPr>
          <w:b/>
          <w:bCs/>
        </w:rPr>
      </w:pPr>
      <w:r w:rsidRPr="006927E5">
        <w:rPr>
          <w:b/>
          <w:bCs/>
        </w:rPr>
        <w:t>Adverse Events (AEs):</w:t>
      </w:r>
    </w:p>
    <w:p w14:paraId="664E4973" w14:textId="77777777" w:rsidR="006927E5" w:rsidRPr="006927E5" w:rsidRDefault="006927E5" w:rsidP="006927E5">
      <w:pPr>
        <w:numPr>
          <w:ilvl w:val="1"/>
          <w:numId w:val="12"/>
        </w:numPr>
        <w:rPr>
          <w:b/>
          <w:bCs/>
        </w:rPr>
      </w:pPr>
      <w:r w:rsidRPr="006927E5">
        <w:rPr>
          <w:b/>
          <w:bCs/>
        </w:rPr>
        <w:t xml:space="preserve">Incidence, severity, and relationship to </w:t>
      </w:r>
      <w:proofErr w:type="spellStart"/>
      <w:r w:rsidRPr="006927E5">
        <w:rPr>
          <w:b/>
          <w:bCs/>
        </w:rPr>
        <w:t>Ilizomab</w:t>
      </w:r>
      <w:proofErr w:type="spellEnd"/>
      <w:r w:rsidRPr="006927E5">
        <w:rPr>
          <w:b/>
          <w:bCs/>
        </w:rPr>
        <w:t xml:space="preserve"> will be summarized descriptively.</w:t>
      </w:r>
    </w:p>
    <w:p w14:paraId="6464BFEE" w14:textId="77777777" w:rsidR="006927E5" w:rsidRPr="006927E5" w:rsidRDefault="006927E5" w:rsidP="006927E5">
      <w:pPr>
        <w:numPr>
          <w:ilvl w:val="1"/>
          <w:numId w:val="12"/>
        </w:numPr>
        <w:rPr>
          <w:b/>
          <w:bCs/>
        </w:rPr>
      </w:pPr>
      <w:r w:rsidRPr="006927E5">
        <w:rPr>
          <w:b/>
          <w:bCs/>
        </w:rPr>
        <w:t>Serious Adverse Events (SAEs) will be listed with causality assessments.</w:t>
      </w:r>
    </w:p>
    <w:p w14:paraId="0823F0AB" w14:textId="77777777" w:rsidR="006927E5" w:rsidRPr="006927E5" w:rsidRDefault="006927E5" w:rsidP="006927E5">
      <w:pPr>
        <w:numPr>
          <w:ilvl w:val="1"/>
          <w:numId w:val="12"/>
        </w:numPr>
        <w:rPr>
          <w:b/>
          <w:bCs/>
        </w:rPr>
      </w:pPr>
      <w:r w:rsidRPr="006927E5">
        <w:rPr>
          <w:b/>
          <w:bCs/>
        </w:rPr>
        <w:t>Treatment-emergent adverse events (TEAEs) will be categorized.</w:t>
      </w:r>
    </w:p>
    <w:p w14:paraId="65D4967A" w14:textId="77777777" w:rsidR="006927E5" w:rsidRPr="006927E5" w:rsidRDefault="006927E5" w:rsidP="006927E5">
      <w:pPr>
        <w:numPr>
          <w:ilvl w:val="0"/>
          <w:numId w:val="12"/>
        </w:numPr>
        <w:rPr>
          <w:b/>
          <w:bCs/>
        </w:rPr>
      </w:pPr>
      <w:r w:rsidRPr="006927E5">
        <w:rPr>
          <w:b/>
          <w:bCs/>
        </w:rPr>
        <w:t>Immunogenicity Analysis:</w:t>
      </w:r>
    </w:p>
    <w:p w14:paraId="279DB5AA" w14:textId="77777777" w:rsidR="006927E5" w:rsidRPr="006927E5" w:rsidRDefault="006927E5" w:rsidP="006927E5">
      <w:pPr>
        <w:numPr>
          <w:ilvl w:val="1"/>
          <w:numId w:val="12"/>
        </w:numPr>
        <w:rPr>
          <w:b/>
          <w:bCs/>
        </w:rPr>
      </w:pPr>
      <w:r w:rsidRPr="006927E5">
        <w:rPr>
          <w:b/>
          <w:bCs/>
        </w:rPr>
        <w:t>The proportion of patients developing anti-drug antibodies (ADAs) will be summarized.</w:t>
      </w:r>
    </w:p>
    <w:p w14:paraId="684F1173" w14:textId="77777777" w:rsidR="006927E5" w:rsidRPr="006927E5" w:rsidRDefault="006927E5" w:rsidP="006927E5">
      <w:pPr>
        <w:numPr>
          <w:ilvl w:val="0"/>
          <w:numId w:val="12"/>
        </w:numPr>
        <w:rPr>
          <w:b/>
          <w:bCs/>
        </w:rPr>
      </w:pPr>
      <w:r w:rsidRPr="006927E5">
        <w:rPr>
          <w:b/>
          <w:bCs/>
        </w:rPr>
        <w:t>Laboratory Safety Data:</w:t>
      </w:r>
    </w:p>
    <w:p w14:paraId="3C5D48B0" w14:textId="77777777" w:rsidR="006927E5" w:rsidRPr="006927E5" w:rsidRDefault="006927E5" w:rsidP="006927E5">
      <w:pPr>
        <w:numPr>
          <w:ilvl w:val="1"/>
          <w:numId w:val="12"/>
        </w:numPr>
        <w:rPr>
          <w:b/>
          <w:bCs/>
        </w:rPr>
      </w:pPr>
      <w:r w:rsidRPr="006927E5">
        <w:rPr>
          <w:b/>
          <w:bCs/>
        </w:rPr>
        <w:t>Changes in liver function tests, hematology parameters, and renal function markers.</w:t>
      </w:r>
    </w:p>
    <w:p w14:paraId="61BA4E98" w14:textId="77777777" w:rsidR="006927E5" w:rsidRPr="006927E5" w:rsidRDefault="006927E5" w:rsidP="006927E5">
      <w:pPr>
        <w:numPr>
          <w:ilvl w:val="0"/>
          <w:numId w:val="12"/>
        </w:numPr>
        <w:rPr>
          <w:b/>
          <w:bCs/>
        </w:rPr>
      </w:pPr>
      <w:r w:rsidRPr="006927E5">
        <w:rPr>
          <w:b/>
          <w:bCs/>
        </w:rPr>
        <w:t>Vital Signs &amp; ECG Monitoring:</w:t>
      </w:r>
    </w:p>
    <w:p w14:paraId="43660213" w14:textId="77777777" w:rsidR="006927E5" w:rsidRPr="006927E5" w:rsidRDefault="006927E5" w:rsidP="006927E5">
      <w:pPr>
        <w:numPr>
          <w:ilvl w:val="1"/>
          <w:numId w:val="12"/>
        </w:numPr>
        <w:rPr>
          <w:b/>
          <w:bCs/>
        </w:rPr>
      </w:pPr>
      <w:r w:rsidRPr="006927E5">
        <w:rPr>
          <w:b/>
          <w:bCs/>
        </w:rPr>
        <w:t>Descriptive summaries of blood pressure, heart rate, and ECG trends.</w:t>
      </w:r>
    </w:p>
    <w:p w14:paraId="3B6A591C" w14:textId="57C66184" w:rsidR="006927E5" w:rsidRPr="006927E5" w:rsidRDefault="006A3A32" w:rsidP="006927E5">
      <w:pPr>
        <w:rPr>
          <w:b/>
          <w:bCs/>
        </w:rPr>
      </w:pPr>
      <w:r>
        <w:rPr>
          <w:b/>
          <w:bCs/>
        </w:rPr>
        <w:t>7</w:t>
      </w:r>
      <w:r w:rsidR="006927E5" w:rsidRPr="006927E5">
        <w:rPr>
          <w:b/>
          <w:bCs/>
        </w:rPr>
        <w:t>. Interim Safety Analysis</w:t>
      </w:r>
    </w:p>
    <w:p w14:paraId="79E96893" w14:textId="77777777" w:rsidR="006927E5" w:rsidRPr="006927E5" w:rsidRDefault="006927E5" w:rsidP="006927E5">
      <w:pPr>
        <w:numPr>
          <w:ilvl w:val="0"/>
          <w:numId w:val="13"/>
        </w:numPr>
        <w:rPr>
          <w:b/>
          <w:bCs/>
        </w:rPr>
      </w:pPr>
      <w:r w:rsidRPr="006927E5">
        <w:rPr>
          <w:b/>
          <w:bCs/>
        </w:rPr>
        <w:t>A planned interim analysis will occur when 50% of participants complete Week 24 assessments.</w:t>
      </w:r>
    </w:p>
    <w:p w14:paraId="0A5DD4B4" w14:textId="77777777" w:rsidR="006927E5" w:rsidRPr="006927E5" w:rsidRDefault="006927E5" w:rsidP="006927E5">
      <w:pPr>
        <w:numPr>
          <w:ilvl w:val="0"/>
          <w:numId w:val="13"/>
        </w:numPr>
        <w:rPr>
          <w:b/>
          <w:bCs/>
        </w:rPr>
      </w:pPr>
      <w:r w:rsidRPr="006927E5">
        <w:rPr>
          <w:b/>
          <w:bCs/>
        </w:rPr>
        <w:t>An independent Data Safety Monitoring Board (DSMB) will review interim data for safety signals.</w:t>
      </w:r>
    </w:p>
    <w:p w14:paraId="4CB5B643" w14:textId="77777777" w:rsidR="006927E5" w:rsidRPr="006927E5" w:rsidRDefault="006927E5" w:rsidP="006927E5">
      <w:pPr>
        <w:numPr>
          <w:ilvl w:val="0"/>
          <w:numId w:val="13"/>
        </w:numPr>
        <w:rPr>
          <w:b/>
          <w:bCs/>
        </w:rPr>
      </w:pPr>
      <w:r w:rsidRPr="006927E5">
        <w:rPr>
          <w:b/>
          <w:bCs/>
        </w:rPr>
        <w:t>Stopping criteria: Excessive AEs or lack of efficacy will be predefined.</w:t>
      </w:r>
    </w:p>
    <w:p w14:paraId="721DFD02" w14:textId="77777777" w:rsidR="006927E5" w:rsidRPr="006927E5" w:rsidRDefault="006927E5" w:rsidP="006927E5">
      <w:pPr>
        <w:numPr>
          <w:ilvl w:val="0"/>
          <w:numId w:val="13"/>
        </w:numPr>
        <w:rPr>
          <w:b/>
          <w:bCs/>
        </w:rPr>
      </w:pPr>
      <w:r w:rsidRPr="006927E5">
        <w:rPr>
          <w:b/>
          <w:bCs/>
        </w:rPr>
        <w:t>Multiplicity Adjustment for Interim Analysis:</w:t>
      </w:r>
    </w:p>
    <w:p w14:paraId="0380194F" w14:textId="77777777" w:rsidR="006927E5" w:rsidRPr="006927E5" w:rsidRDefault="006927E5" w:rsidP="006927E5">
      <w:pPr>
        <w:numPr>
          <w:ilvl w:val="1"/>
          <w:numId w:val="13"/>
        </w:numPr>
        <w:rPr>
          <w:b/>
          <w:bCs/>
        </w:rPr>
      </w:pPr>
      <w:r w:rsidRPr="006927E5">
        <w:rPr>
          <w:b/>
          <w:bCs/>
        </w:rPr>
        <w:t>The interim analysis will use a Lan-</w:t>
      </w:r>
      <w:proofErr w:type="spellStart"/>
      <w:r w:rsidRPr="006927E5">
        <w:rPr>
          <w:b/>
          <w:bCs/>
        </w:rPr>
        <w:t>DeMets</w:t>
      </w:r>
      <w:proofErr w:type="spellEnd"/>
      <w:r w:rsidRPr="006927E5">
        <w:rPr>
          <w:b/>
          <w:bCs/>
        </w:rPr>
        <w:t xml:space="preserve"> spending function with an O'Brien-Fleming boundary to adjust for multiple looks at the data while maintaining overall type I error control.</w:t>
      </w:r>
    </w:p>
    <w:p w14:paraId="6457AE9C" w14:textId="77777777" w:rsidR="006927E5" w:rsidRPr="006927E5" w:rsidRDefault="006927E5" w:rsidP="006927E5">
      <w:pPr>
        <w:numPr>
          <w:ilvl w:val="1"/>
          <w:numId w:val="13"/>
        </w:numPr>
        <w:rPr>
          <w:b/>
          <w:bCs/>
        </w:rPr>
      </w:pPr>
      <w:r w:rsidRPr="006927E5">
        <w:rPr>
          <w:b/>
          <w:bCs/>
        </w:rPr>
        <w:t>If the interim results cross the predefined boundary for efficacy, the study may be stopped early for overwhelming efficacy.</w:t>
      </w:r>
    </w:p>
    <w:p w14:paraId="12D27862" w14:textId="10AEFC5D" w:rsidR="006927E5" w:rsidRPr="006927E5" w:rsidRDefault="006A3A32" w:rsidP="006927E5">
      <w:pPr>
        <w:rPr>
          <w:b/>
          <w:bCs/>
        </w:rPr>
      </w:pPr>
      <w:r>
        <w:rPr>
          <w:b/>
          <w:bCs/>
        </w:rPr>
        <w:t>8</w:t>
      </w:r>
      <w:r w:rsidR="006927E5" w:rsidRPr="006927E5">
        <w:rPr>
          <w:b/>
          <w:bCs/>
        </w:rPr>
        <w:t>. Handling of Missing Data</w:t>
      </w:r>
    </w:p>
    <w:p w14:paraId="2F60F5AF" w14:textId="77777777" w:rsidR="006927E5" w:rsidRPr="006927E5" w:rsidRDefault="006927E5" w:rsidP="006927E5">
      <w:pPr>
        <w:numPr>
          <w:ilvl w:val="0"/>
          <w:numId w:val="14"/>
        </w:numPr>
        <w:rPr>
          <w:b/>
          <w:bCs/>
        </w:rPr>
      </w:pPr>
      <w:r w:rsidRPr="006927E5">
        <w:rPr>
          <w:b/>
          <w:bCs/>
        </w:rPr>
        <w:lastRenderedPageBreak/>
        <w:t>Multiple Imputation (MI) will be used for missing primary endpoint data.</w:t>
      </w:r>
    </w:p>
    <w:p w14:paraId="35BE0940" w14:textId="77777777" w:rsidR="006927E5" w:rsidRPr="006927E5" w:rsidRDefault="006927E5" w:rsidP="006927E5">
      <w:pPr>
        <w:numPr>
          <w:ilvl w:val="0"/>
          <w:numId w:val="14"/>
        </w:numPr>
        <w:rPr>
          <w:b/>
          <w:bCs/>
        </w:rPr>
      </w:pPr>
      <w:r w:rsidRPr="006927E5">
        <w:rPr>
          <w:b/>
          <w:bCs/>
        </w:rPr>
        <w:t>Last Observation Carried Forward (LOCF) will be used for sensitivity analyses.</w:t>
      </w:r>
    </w:p>
    <w:p w14:paraId="5675AB73" w14:textId="388ACACD" w:rsidR="006927E5" w:rsidRPr="006927E5" w:rsidRDefault="006A3A32" w:rsidP="006927E5">
      <w:pPr>
        <w:rPr>
          <w:b/>
          <w:bCs/>
        </w:rPr>
      </w:pPr>
      <w:r>
        <w:rPr>
          <w:b/>
          <w:bCs/>
        </w:rPr>
        <w:t>9</w:t>
      </w:r>
      <w:r w:rsidR="006927E5" w:rsidRPr="006927E5">
        <w:rPr>
          <w:b/>
          <w:bCs/>
        </w:rPr>
        <w:t>. Data Cutoff and Reporting</w:t>
      </w:r>
    </w:p>
    <w:p w14:paraId="7B3F3463" w14:textId="77777777" w:rsidR="006927E5" w:rsidRPr="006927E5" w:rsidRDefault="006927E5" w:rsidP="006927E5">
      <w:pPr>
        <w:numPr>
          <w:ilvl w:val="0"/>
          <w:numId w:val="15"/>
        </w:numPr>
        <w:rPr>
          <w:b/>
          <w:bCs/>
        </w:rPr>
      </w:pPr>
      <w:r w:rsidRPr="006927E5">
        <w:rPr>
          <w:b/>
          <w:bCs/>
        </w:rPr>
        <w:t>The final data cut-off date will be set once all patients have completed Week 24 assessments or withdrawn.</w:t>
      </w:r>
    </w:p>
    <w:p w14:paraId="42C9C375" w14:textId="77777777" w:rsidR="006927E5" w:rsidRPr="006927E5" w:rsidRDefault="006927E5" w:rsidP="006927E5">
      <w:pPr>
        <w:numPr>
          <w:ilvl w:val="0"/>
          <w:numId w:val="15"/>
        </w:numPr>
        <w:rPr>
          <w:b/>
          <w:bCs/>
        </w:rPr>
      </w:pPr>
      <w:r w:rsidRPr="006927E5">
        <w:rPr>
          <w:b/>
          <w:bCs/>
        </w:rPr>
        <w:t>Statistical outputs will include tables, figures, and listings (TFLs) per regulatory guidelines.</w:t>
      </w:r>
    </w:p>
    <w:p w14:paraId="1657BD5E" w14:textId="77777777" w:rsidR="00744AF7" w:rsidRPr="006927E5" w:rsidRDefault="00744AF7" w:rsidP="006927E5"/>
    <w:sectPr w:rsidR="00744AF7" w:rsidRPr="0069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E45"/>
    <w:multiLevelType w:val="multilevel"/>
    <w:tmpl w:val="EBD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A3CA0"/>
    <w:multiLevelType w:val="multilevel"/>
    <w:tmpl w:val="2E8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34847"/>
    <w:multiLevelType w:val="multilevel"/>
    <w:tmpl w:val="3A5E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660E"/>
    <w:multiLevelType w:val="multilevel"/>
    <w:tmpl w:val="0BA4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63DAB"/>
    <w:multiLevelType w:val="multilevel"/>
    <w:tmpl w:val="FFD0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C75AA"/>
    <w:multiLevelType w:val="multilevel"/>
    <w:tmpl w:val="741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56144"/>
    <w:multiLevelType w:val="multilevel"/>
    <w:tmpl w:val="6F5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06771"/>
    <w:multiLevelType w:val="multilevel"/>
    <w:tmpl w:val="3DE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67297"/>
    <w:multiLevelType w:val="multilevel"/>
    <w:tmpl w:val="CF4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52FC9"/>
    <w:multiLevelType w:val="multilevel"/>
    <w:tmpl w:val="F33E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73A4B"/>
    <w:multiLevelType w:val="multilevel"/>
    <w:tmpl w:val="28A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B45A9"/>
    <w:multiLevelType w:val="multilevel"/>
    <w:tmpl w:val="3DE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A7D9E"/>
    <w:multiLevelType w:val="multilevel"/>
    <w:tmpl w:val="E37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C72E5"/>
    <w:multiLevelType w:val="multilevel"/>
    <w:tmpl w:val="FC1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37B17"/>
    <w:multiLevelType w:val="multilevel"/>
    <w:tmpl w:val="F9E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B56BE"/>
    <w:multiLevelType w:val="multilevel"/>
    <w:tmpl w:val="20C4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36B37"/>
    <w:multiLevelType w:val="multilevel"/>
    <w:tmpl w:val="EE18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119332">
    <w:abstractNumId w:val="10"/>
  </w:num>
  <w:num w:numId="2" w16cid:durableId="1277326145">
    <w:abstractNumId w:val="0"/>
  </w:num>
  <w:num w:numId="3" w16cid:durableId="791751490">
    <w:abstractNumId w:val="14"/>
  </w:num>
  <w:num w:numId="4" w16cid:durableId="739058296">
    <w:abstractNumId w:val="5"/>
  </w:num>
  <w:num w:numId="5" w16cid:durableId="1521117365">
    <w:abstractNumId w:val="13"/>
  </w:num>
  <w:num w:numId="6" w16cid:durableId="1991709827">
    <w:abstractNumId w:val="9"/>
  </w:num>
  <w:num w:numId="7" w16cid:durableId="274137914">
    <w:abstractNumId w:val="1"/>
  </w:num>
  <w:num w:numId="8" w16cid:durableId="707338893">
    <w:abstractNumId w:val="15"/>
  </w:num>
  <w:num w:numId="9" w16cid:durableId="1029527436">
    <w:abstractNumId w:val="6"/>
  </w:num>
  <w:num w:numId="10" w16cid:durableId="1882939776">
    <w:abstractNumId w:val="11"/>
  </w:num>
  <w:num w:numId="11" w16cid:durableId="876116755">
    <w:abstractNumId w:val="4"/>
  </w:num>
  <w:num w:numId="12" w16cid:durableId="317422691">
    <w:abstractNumId w:val="12"/>
  </w:num>
  <w:num w:numId="13" w16cid:durableId="1438332011">
    <w:abstractNumId w:val="8"/>
  </w:num>
  <w:num w:numId="14" w16cid:durableId="995231697">
    <w:abstractNumId w:val="3"/>
  </w:num>
  <w:num w:numId="15" w16cid:durableId="2061662248">
    <w:abstractNumId w:val="16"/>
  </w:num>
  <w:num w:numId="16" w16cid:durableId="215437138">
    <w:abstractNumId w:val="7"/>
  </w:num>
  <w:num w:numId="17" w16cid:durableId="1689674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EA"/>
    <w:rsid w:val="000215E0"/>
    <w:rsid w:val="000D3579"/>
    <w:rsid w:val="001B63EA"/>
    <w:rsid w:val="0026609C"/>
    <w:rsid w:val="00271396"/>
    <w:rsid w:val="003245CE"/>
    <w:rsid w:val="004B0AF8"/>
    <w:rsid w:val="00666A38"/>
    <w:rsid w:val="006864F0"/>
    <w:rsid w:val="006927E5"/>
    <w:rsid w:val="006A3A32"/>
    <w:rsid w:val="00744AF7"/>
    <w:rsid w:val="00784993"/>
    <w:rsid w:val="008A5597"/>
    <w:rsid w:val="00961CFE"/>
    <w:rsid w:val="00AB1FC5"/>
    <w:rsid w:val="00B22379"/>
    <w:rsid w:val="00D965A7"/>
    <w:rsid w:val="00FC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58B1"/>
  <w15:chartTrackingRefBased/>
  <w15:docId w15:val="{EE944A41-34F8-4ED2-9D46-384F4267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EA"/>
  </w:style>
  <w:style w:type="paragraph" w:styleId="Heading1">
    <w:name w:val="heading 1"/>
    <w:basedOn w:val="Normal"/>
    <w:next w:val="Normal"/>
    <w:link w:val="Heading1Char"/>
    <w:uiPriority w:val="9"/>
    <w:qFormat/>
    <w:rsid w:val="001B6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3</cp:revision>
  <dcterms:created xsi:type="dcterms:W3CDTF">2025-03-11T17:47:00Z</dcterms:created>
  <dcterms:modified xsi:type="dcterms:W3CDTF">2025-03-11T17:54:00Z</dcterms:modified>
</cp:coreProperties>
</file>