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26A5" w14:textId="2425C6B6" w:rsidR="00875CBE" w:rsidRDefault="00875CBE" w:rsidP="00875CBE">
      <w:pPr>
        <w:rPr>
          <w:b/>
          <w:bCs/>
        </w:rPr>
      </w:pPr>
      <w:r>
        <w:rPr>
          <w:b/>
          <w:bCs/>
        </w:rPr>
        <w:t>Pre-clinical Toxicology Summary of Ilizomab</w:t>
      </w:r>
    </w:p>
    <w:p w14:paraId="79091C65" w14:textId="72D816F8" w:rsidR="00875CBE" w:rsidRPr="00875CBE" w:rsidRDefault="00875CBE" w:rsidP="00875CBE">
      <w:pPr>
        <w:rPr>
          <w:b/>
          <w:bCs/>
        </w:rPr>
      </w:pPr>
      <w:r w:rsidRPr="00875CBE">
        <w:rPr>
          <w:b/>
          <w:bCs/>
        </w:rPr>
        <w:t>Introduction</w:t>
      </w:r>
    </w:p>
    <w:p w14:paraId="6D93564F" w14:textId="77777777" w:rsidR="00875CBE" w:rsidRPr="00875CBE" w:rsidRDefault="00875CBE" w:rsidP="00875CBE">
      <w:r w:rsidRPr="00875CBE">
        <w:t xml:space="preserve">This summary provides an overview of the preclinical toxicology evaluation of </w:t>
      </w:r>
      <w:proofErr w:type="spellStart"/>
      <w:r w:rsidRPr="00875CBE">
        <w:t>Ilizomab</w:t>
      </w:r>
      <w:proofErr w:type="spellEnd"/>
      <w:r w:rsidRPr="00875CBE">
        <w:t>, a monoclonal antibody targeting [specific immune pathway], conducted in rodent and non-human primate models to assess its safety, pharmacokinetics, and potential toxicity profile.</w:t>
      </w:r>
    </w:p>
    <w:p w14:paraId="48630C36" w14:textId="77777777" w:rsidR="00875CBE" w:rsidRPr="00875CBE" w:rsidRDefault="00875CBE" w:rsidP="00875CBE">
      <w:pPr>
        <w:rPr>
          <w:b/>
          <w:bCs/>
        </w:rPr>
      </w:pPr>
      <w:r w:rsidRPr="00875CBE">
        <w:rPr>
          <w:b/>
          <w:bCs/>
        </w:rPr>
        <w:t>Study Design</w:t>
      </w:r>
    </w:p>
    <w:p w14:paraId="1AD842AB" w14:textId="77777777" w:rsidR="00875CBE" w:rsidRPr="00875CBE" w:rsidRDefault="00875CBE" w:rsidP="00875CBE">
      <w:pPr>
        <w:numPr>
          <w:ilvl w:val="0"/>
          <w:numId w:val="1"/>
        </w:numPr>
      </w:pPr>
      <w:r w:rsidRPr="00875CBE">
        <w:rPr>
          <w:b/>
          <w:bCs/>
        </w:rPr>
        <w:t>Species:</w:t>
      </w:r>
      <w:r w:rsidRPr="00875CBE">
        <w:t xml:space="preserve"> Rats and Cynomolgus monkeys</w:t>
      </w:r>
    </w:p>
    <w:p w14:paraId="758265CC" w14:textId="77777777" w:rsidR="00875CBE" w:rsidRPr="00875CBE" w:rsidRDefault="00875CBE" w:rsidP="00875CBE">
      <w:pPr>
        <w:numPr>
          <w:ilvl w:val="0"/>
          <w:numId w:val="1"/>
        </w:numPr>
      </w:pPr>
      <w:r w:rsidRPr="00875CBE">
        <w:rPr>
          <w:b/>
          <w:bCs/>
        </w:rPr>
        <w:t>Duration:</w:t>
      </w:r>
      <w:r w:rsidRPr="00875CBE">
        <w:t xml:space="preserve"> 28-day and 90-day repeat-dose studies</w:t>
      </w:r>
    </w:p>
    <w:p w14:paraId="26882E7C" w14:textId="77777777" w:rsidR="00875CBE" w:rsidRPr="00875CBE" w:rsidRDefault="00875CBE" w:rsidP="00875CBE">
      <w:pPr>
        <w:numPr>
          <w:ilvl w:val="0"/>
          <w:numId w:val="1"/>
        </w:numPr>
      </w:pPr>
      <w:r w:rsidRPr="00875CBE">
        <w:rPr>
          <w:b/>
          <w:bCs/>
        </w:rPr>
        <w:t>Doses:</w:t>
      </w:r>
      <w:r w:rsidRPr="00875CBE">
        <w:t xml:space="preserve"> Low (1 mg/kg), Medium (5 mg/kg), High (15 mg/kg)</w:t>
      </w:r>
    </w:p>
    <w:p w14:paraId="516C09C3" w14:textId="77777777" w:rsidR="00875CBE" w:rsidRPr="00875CBE" w:rsidRDefault="00875CBE" w:rsidP="00875CBE">
      <w:pPr>
        <w:numPr>
          <w:ilvl w:val="0"/>
          <w:numId w:val="1"/>
        </w:numPr>
      </w:pPr>
      <w:r w:rsidRPr="00875CBE">
        <w:rPr>
          <w:b/>
          <w:bCs/>
        </w:rPr>
        <w:t>Endpoints Assessed:</w:t>
      </w:r>
    </w:p>
    <w:p w14:paraId="38BF58F4" w14:textId="77777777" w:rsidR="00875CBE" w:rsidRPr="00875CBE" w:rsidRDefault="00875CBE" w:rsidP="00875CBE">
      <w:pPr>
        <w:numPr>
          <w:ilvl w:val="1"/>
          <w:numId w:val="1"/>
        </w:numPr>
      </w:pPr>
      <w:r w:rsidRPr="00875CBE">
        <w:t>Clinical observations (body weight, food consumption, clinical signs)</w:t>
      </w:r>
    </w:p>
    <w:p w14:paraId="1FC45DB0" w14:textId="77777777" w:rsidR="00875CBE" w:rsidRPr="00875CBE" w:rsidRDefault="00875CBE" w:rsidP="00875CBE">
      <w:pPr>
        <w:numPr>
          <w:ilvl w:val="1"/>
          <w:numId w:val="1"/>
        </w:numPr>
      </w:pPr>
      <w:r w:rsidRPr="00875CBE">
        <w:t>Hematology, serum chemistry, and cytokine profiling</w:t>
      </w:r>
    </w:p>
    <w:p w14:paraId="4B4AE2A2" w14:textId="77777777" w:rsidR="00875CBE" w:rsidRPr="00875CBE" w:rsidRDefault="00875CBE" w:rsidP="00875CBE">
      <w:pPr>
        <w:numPr>
          <w:ilvl w:val="1"/>
          <w:numId w:val="1"/>
        </w:numPr>
      </w:pPr>
      <w:r w:rsidRPr="00875CBE">
        <w:t>Organ pathology (gross and histopathology)</w:t>
      </w:r>
    </w:p>
    <w:p w14:paraId="12E53573" w14:textId="77777777" w:rsidR="00875CBE" w:rsidRPr="00875CBE" w:rsidRDefault="00875CBE" w:rsidP="00875CBE">
      <w:pPr>
        <w:rPr>
          <w:b/>
          <w:bCs/>
        </w:rPr>
      </w:pPr>
      <w:r w:rsidRPr="00875CBE">
        <w:rPr>
          <w:b/>
          <w:bCs/>
        </w:rPr>
        <w:t>Key Findings</w:t>
      </w:r>
    </w:p>
    <w:p w14:paraId="7E403306" w14:textId="77777777" w:rsidR="00875CBE" w:rsidRPr="00875CBE" w:rsidRDefault="00875CBE" w:rsidP="00875CBE">
      <w:pPr>
        <w:numPr>
          <w:ilvl w:val="0"/>
          <w:numId w:val="2"/>
        </w:numPr>
      </w:pPr>
      <w:r w:rsidRPr="00875CBE">
        <w:rPr>
          <w:b/>
          <w:bCs/>
        </w:rPr>
        <w:t>General Tolerability:</w:t>
      </w:r>
    </w:p>
    <w:p w14:paraId="7FF25A7F" w14:textId="77777777" w:rsidR="00875CBE" w:rsidRPr="00875CBE" w:rsidRDefault="00875CBE" w:rsidP="00875CBE">
      <w:pPr>
        <w:numPr>
          <w:ilvl w:val="1"/>
          <w:numId w:val="2"/>
        </w:numPr>
      </w:pPr>
      <w:proofErr w:type="spellStart"/>
      <w:r w:rsidRPr="00875CBE">
        <w:t>Ilizomab</w:t>
      </w:r>
      <w:proofErr w:type="spellEnd"/>
      <w:r w:rsidRPr="00875CBE">
        <w:t xml:space="preserve"> was well tolerated at doses up to </w:t>
      </w:r>
      <w:r w:rsidRPr="00875CBE">
        <w:rPr>
          <w:b/>
          <w:bCs/>
        </w:rPr>
        <w:t>15 mg/kg</w:t>
      </w:r>
      <w:r w:rsidRPr="00875CBE">
        <w:t xml:space="preserve"> in both species</w:t>
      </w:r>
    </w:p>
    <w:p w14:paraId="0F86BAF1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t>No treatment-related mortality observed</w:t>
      </w:r>
    </w:p>
    <w:p w14:paraId="3EBE6C51" w14:textId="77777777" w:rsidR="00875CBE" w:rsidRPr="00875CBE" w:rsidRDefault="00875CBE" w:rsidP="00875CBE">
      <w:pPr>
        <w:numPr>
          <w:ilvl w:val="0"/>
          <w:numId w:val="2"/>
        </w:numPr>
      </w:pPr>
      <w:r w:rsidRPr="00875CBE">
        <w:rPr>
          <w:b/>
          <w:bCs/>
        </w:rPr>
        <w:t>Hematological Effects:</w:t>
      </w:r>
    </w:p>
    <w:p w14:paraId="2A4E452E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t>Mild, dose-dependent decreases in lymphocyte counts at high doses, reversible after treatment cessation</w:t>
      </w:r>
    </w:p>
    <w:p w14:paraId="17C0C2D1" w14:textId="77777777" w:rsidR="00875CBE" w:rsidRPr="00875CBE" w:rsidRDefault="00875CBE" w:rsidP="00875CBE">
      <w:pPr>
        <w:numPr>
          <w:ilvl w:val="0"/>
          <w:numId w:val="2"/>
        </w:numPr>
      </w:pPr>
      <w:r w:rsidRPr="00875CBE">
        <w:rPr>
          <w:b/>
          <w:bCs/>
        </w:rPr>
        <w:t>Liver and Renal Toxicity:</w:t>
      </w:r>
    </w:p>
    <w:p w14:paraId="58FE7BE1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t>No significant liver enzyme elevations or renal dysfunction markers detected</w:t>
      </w:r>
    </w:p>
    <w:p w14:paraId="35E34A2B" w14:textId="77777777" w:rsidR="00875CBE" w:rsidRPr="00875CBE" w:rsidRDefault="00875CBE" w:rsidP="00875CBE">
      <w:pPr>
        <w:numPr>
          <w:ilvl w:val="0"/>
          <w:numId w:val="2"/>
        </w:numPr>
      </w:pPr>
      <w:r w:rsidRPr="00875CBE">
        <w:rPr>
          <w:b/>
          <w:bCs/>
        </w:rPr>
        <w:t>Cytokine Modulation:</w:t>
      </w:r>
    </w:p>
    <w:p w14:paraId="6BA12EE2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t>Dose-dependent reduction in inflammatory cytokines (IL-6, TNF-α), consistent with proposed mechanism of action</w:t>
      </w:r>
    </w:p>
    <w:p w14:paraId="21907716" w14:textId="77777777" w:rsidR="00875CBE" w:rsidRPr="00875CBE" w:rsidRDefault="00875CBE" w:rsidP="00875CBE">
      <w:pPr>
        <w:numPr>
          <w:ilvl w:val="0"/>
          <w:numId w:val="2"/>
        </w:numPr>
      </w:pPr>
      <w:r w:rsidRPr="00875CBE">
        <w:rPr>
          <w:b/>
          <w:bCs/>
        </w:rPr>
        <w:t>Immunogenicity:</w:t>
      </w:r>
    </w:p>
    <w:p w14:paraId="3E353885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lastRenderedPageBreak/>
        <w:t>Low anti-drug antibody formation in non-human primates</w:t>
      </w:r>
    </w:p>
    <w:p w14:paraId="1AC622A1" w14:textId="77777777" w:rsidR="00875CBE" w:rsidRPr="00875CBE" w:rsidRDefault="00875CBE" w:rsidP="00875CBE">
      <w:pPr>
        <w:numPr>
          <w:ilvl w:val="0"/>
          <w:numId w:val="2"/>
        </w:numPr>
      </w:pPr>
      <w:r w:rsidRPr="00875CBE">
        <w:rPr>
          <w:b/>
          <w:bCs/>
        </w:rPr>
        <w:t>Observed Side Effects:</w:t>
      </w:r>
    </w:p>
    <w:p w14:paraId="3E2B4BF0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t xml:space="preserve">Mild to moderate </w:t>
      </w:r>
      <w:r w:rsidRPr="00875CBE">
        <w:rPr>
          <w:b/>
          <w:bCs/>
        </w:rPr>
        <w:t>fatigue</w:t>
      </w:r>
      <w:r w:rsidRPr="00875CBE">
        <w:t xml:space="preserve"> was noted in some animals, resolving post-dosing</w:t>
      </w:r>
    </w:p>
    <w:p w14:paraId="1E0CFAAD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rPr>
          <w:b/>
          <w:bCs/>
        </w:rPr>
        <w:t>Nausea</w:t>
      </w:r>
      <w:r w:rsidRPr="00875CBE">
        <w:t xml:space="preserve"> observed at higher doses but did not impact overall health outcomes</w:t>
      </w:r>
    </w:p>
    <w:p w14:paraId="72F97312" w14:textId="77777777" w:rsidR="00875CBE" w:rsidRPr="00875CBE" w:rsidRDefault="00875CBE" w:rsidP="00875CBE">
      <w:pPr>
        <w:numPr>
          <w:ilvl w:val="1"/>
          <w:numId w:val="2"/>
        </w:numPr>
      </w:pPr>
      <w:r w:rsidRPr="00875CBE">
        <w:rPr>
          <w:b/>
          <w:bCs/>
        </w:rPr>
        <w:t>Syncope-like episodes</w:t>
      </w:r>
      <w:r w:rsidRPr="00875CBE">
        <w:t xml:space="preserve"> recorded in isolated cases at </w:t>
      </w:r>
      <w:r w:rsidRPr="00875CBE">
        <w:rPr>
          <w:b/>
          <w:bCs/>
        </w:rPr>
        <w:t>15 mg/kg</w:t>
      </w:r>
      <w:r w:rsidRPr="00875CBE">
        <w:t>, transient and not dose-limiting</w:t>
      </w:r>
    </w:p>
    <w:p w14:paraId="66C06A87" w14:textId="77777777" w:rsidR="00875CBE" w:rsidRPr="00875CBE" w:rsidRDefault="00875CBE" w:rsidP="00875CBE">
      <w:pPr>
        <w:rPr>
          <w:b/>
          <w:bCs/>
        </w:rPr>
      </w:pPr>
      <w:r w:rsidRPr="00875CBE">
        <w:rPr>
          <w:b/>
          <w:bCs/>
        </w:rPr>
        <w:t>Conclusion</w:t>
      </w:r>
    </w:p>
    <w:p w14:paraId="7EC3B9F2" w14:textId="77777777" w:rsidR="00875CBE" w:rsidRPr="00875CBE" w:rsidRDefault="00875CBE" w:rsidP="00875CBE">
      <w:proofErr w:type="spellStart"/>
      <w:r w:rsidRPr="00875CBE">
        <w:t>Ilizomab</w:t>
      </w:r>
      <w:proofErr w:type="spellEnd"/>
      <w:r w:rsidRPr="00875CBE">
        <w:t xml:space="preserve"> demonstrated a favorable safety profile in preclinical models, with no dose-limiting toxicities identified. Mild fatigue, nausea, and rare instances of syncope were observed but were not associated with long-term adverse effects. The findings support further clinical development in SLE patients, with careful monitoring of hematological parameters and potential side effects during clinical trials.</w:t>
      </w:r>
    </w:p>
    <w:p w14:paraId="17A6BFB1" w14:textId="77777777" w:rsidR="00744AF7" w:rsidRDefault="00744AF7"/>
    <w:sectPr w:rsidR="0074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D63"/>
    <w:multiLevelType w:val="multilevel"/>
    <w:tmpl w:val="E90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A67E8"/>
    <w:multiLevelType w:val="multilevel"/>
    <w:tmpl w:val="EEF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250217">
    <w:abstractNumId w:val="0"/>
  </w:num>
  <w:num w:numId="2" w16cid:durableId="59975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BE"/>
    <w:rsid w:val="00744AF7"/>
    <w:rsid w:val="00875CBE"/>
    <w:rsid w:val="00961CFE"/>
    <w:rsid w:val="00AB1FC5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31E7"/>
  <w15:chartTrackingRefBased/>
  <w15:docId w15:val="{A9743403-9795-40FB-AA52-EC4A0BC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1</cp:revision>
  <dcterms:created xsi:type="dcterms:W3CDTF">2025-03-09T19:24:00Z</dcterms:created>
  <dcterms:modified xsi:type="dcterms:W3CDTF">2025-03-09T19:25:00Z</dcterms:modified>
</cp:coreProperties>
</file>