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ABBD8C" w14:textId="25FB76D3" w:rsidR="00B47316" w:rsidRPr="00B47316" w:rsidRDefault="00FE11C1">
      <w:pPr>
        <w:jc w:val="center"/>
        <w:rPr>
          <w:b/>
        </w:rPr>
      </w:pPr>
      <w:r w:rsidRPr="007921F7">
        <w:rPr>
          <w:noProof/>
          <w:lang w:val="en-US"/>
        </w:rPr>
        <w:drawing>
          <wp:inline distT="0" distB="0" distL="0" distR="0" wp14:anchorId="0022E4EF" wp14:editId="55B543EB">
            <wp:extent cx="593747" cy="79025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8919" cy="823761"/>
                    </a:xfrm>
                    <a:prstGeom prst="rect">
                      <a:avLst/>
                    </a:prstGeom>
                  </pic:spPr>
                </pic:pic>
              </a:graphicData>
            </a:graphic>
          </wp:inline>
        </w:drawing>
      </w:r>
    </w:p>
    <w:p w14:paraId="6C935F20" w14:textId="77777777" w:rsidR="002B6CB8" w:rsidRDefault="002B6CB8">
      <w:pPr>
        <w:jc w:val="center"/>
        <w:rPr>
          <w:b/>
        </w:rPr>
      </w:pPr>
      <w:r>
        <w:rPr>
          <w:b/>
        </w:rPr>
        <w:t>Solutions to the Review Q</w:t>
      </w:r>
      <w:r w:rsidR="00165BEC">
        <w:rPr>
          <w:b/>
        </w:rPr>
        <w:t>uestions at the End of Chapter 2</w:t>
      </w:r>
    </w:p>
    <w:p w14:paraId="6CB54276" w14:textId="77777777" w:rsidR="002B6CB8" w:rsidRDefault="002B6CB8">
      <w:pPr>
        <w:jc w:val="both"/>
      </w:pPr>
    </w:p>
    <w:p w14:paraId="00C3A22E" w14:textId="77777777" w:rsidR="009D5550" w:rsidRPr="009D5550" w:rsidRDefault="009D5550" w:rsidP="009D5550">
      <w:pPr>
        <w:tabs>
          <w:tab w:val="left" w:pos="360"/>
        </w:tabs>
        <w:jc w:val="both"/>
      </w:pPr>
      <w:r>
        <w:t>1</w:t>
      </w:r>
      <w:r w:rsidRPr="009D5550">
        <w:t>. (a) E(</w:t>
      </w:r>
      <w:r w:rsidRPr="009D5550">
        <w:rPr>
          <w:i/>
        </w:rPr>
        <w:t>ax</w:t>
      </w:r>
      <w:r w:rsidRPr="009D5550">
        <w:t xml:space="preserve"> + </w:t>
      </w:r>
      <w:r w:rsidRPr="009D5550">
        <w:rPr>
          <w:i/>
        </w:rPr>
        <w:t>by</w:t>
      </w:r>
      <w:r w:rsidRPr="009D5550">
        <w:t xml:space="preserve">) = </w:t>
      </w:r>
      <w:r w:rsidRPr="009D5550">
        <w:rPr>
          <w:i/>
        </w:rPr>
        <w:t>a</w:t>
      </w:r>
      <w:r w:rsidRPr="009D5550">
        <w:t>E(</w:t>
      </w:r>
      <w:r w:rsidRPr="009D5550">
        <w:rPr>
          <w:i/>
        </w:rPr>
        <w:t>x</w:t>
      </w:r>
      <w:r w:rsidRPr="009D5550">
        <w:t xml:space="preserve">) + </w:t>
      </w:r>
      <w:r w:rsidRPr="009D5550">
        <w:rPr>
          <w:i/>
        </w:rPr>
        <w:t>b</w:t>
      </w:r>
      <w:r w:rsidRPr="009D5550">
        <w:t>E(</w:t>
      </w:r>
      <w:r w:rsidRPr="009D5550">
        <w:rPr>
          <w:i/>
        </w:rPr>
        <w:t>y</w:t>
      </w:r>
      <w:r w:rsidRPr="009D5550">
        <w:t>).</w:t>
      </w:r>
    </w:p>
    <w:p w14:paraId="6C31752E" w14:textId="77777777" w:rsidR="009D5550" w:rsidRPr="009D5550" w:rsidRDefault="009D5550" w:rsidP="009D5550">
      <w:pPr>
        <w:tabs>
          <w:tab w:val="left" w:pos="360"/>
        </w:tabs>
        <w:jc w:val="both"/>
      </w:pPr>
    </w:p>
    <w:p w14:paraId="406967F0" w14:textId="77777777" w:rsidR="009D5550" w:rsidRPr="009D5550" w:rsidRDefault="009D5550" w:rsidP="009D5550">
      <w:pPr>
        <w:tabs>
          <w:tab w:val="left" w:pos="360"/>
        </w:tabs>
        <w:jc w:val="both"/>
      </w:pPr>
      <w:r w:rsidRPr="009D5550">
        <w:t xml:space="preserve">     (b) E(</w:t>
      </w:r>
      <w:r w:rsidRPr="009D5550">
        <w:rPr>
          <w:i/>
        </w:rPr>
        <w:t>axy</w:t>
      </w:r>
      <w:r w:rsidRPr="009D5550">
        <w:t xml:space="preserve">) = </w:t>
      </w:r>
      <w:r w:rsidRPr="009D5550">
        <w:rPr>
          <w:i/>
        </w:rPr>
        <w:t>a</w:t>
      </w:r>
      <w:r w:rsidRPr="009D5550">
        <w:t>E(</w:t>
      </w:r>
      <w:r w:rsidRPr="009D5550">
        <w:rPr>
          <w:i/>
        </w:rPr>
        <w:t>x</w:t>
      </w:r>
      <w:r w:rsidRPr="009D5550">
        <w:t>)E(</w:t>
      </w:r>
      <w:r w:rsidRPr="009D5550">
        <w:rPr>
          <w:i/>
        </w:rPr>
        <w:t>y</w:t>
      </w:r>
      <w:r w:rsidRPr="009D5550">
        <w:t>).</w:t>
      </w:r>
    </w:p>
    <w:p w14:paraId="26C53BBB" w14:textId="77777777" w:rsidR="009D5550" w:rsidRPr="009D5550" w:rsidRDefault="009D5550" w:rsidP="009D5550">
      <w:pPr>
        <w:tabs>
          <w:tab w:val="left" w:pos="360"/>
        </w:tabs>
        <w:jc w:val="both"/>
      </w:pPr>
    </w:p>
    <w:p w14:paraId="77912ABB" w14:textId="77777777" w:rsidR="009D5550" w:rsidRPr="009D5550" w:rsidRDefault="009D5550" w:rsidP="009D5550">
      <w:pPr>
        <w:tabs>
          <w:tab w:val="left" w:pos="360"/>
        </w:tabs>
        <w:jc w:val="both"/>
      </w:pPr>
      <w:r w:rsidRPr="009D5550">
        <w:t xml:space="preserve">     (c) E(</w:t>
      </w:r>
      <w:r w:rsidRPr="009D5550">
        <w:rPr>
          <w:i/>
        </w:rPr>
        <w:t>axy</w:t>
      </w:r>
      <w:r w:rsidRPr="009D5550">
        <w:t xml:space="preserve">) = </w:t>
      </w:r>
      <w:r w:rsidRPr="009D5550">
        <w:rPr>
          <w:i/>
        </w:rPr>
        <w:t>a</w:t>
      </w:r>
      <w:r w:rsidRPr="009D5550">
        <w:t>E(</w:t>
      </w:r>
      <w:r w:rsidRPr="009D5550">
        <w:rPr>
          <w:i/>
        </w:rPr>
        <w:t>xy</w:t>
      </w:r>
      <w:r w:rsidRPr="009D5550">
        <w:t>).</w:t>
      </w:r>
    </w:p>
    <w:p w14:paraId="172131CF" w14:textId="77777777" w:rsidR="009D5550" w:rsidRPr="009D5550" w:rsidRDefault="009D5550" w:rsidP="009D5550">
      <w:pPr>
        <w:tabs>
          <w:tab w:val="left" w:pos="360"/>
        </w:tabs>
        <w:jc w:val="both"/>
      </w:pPr>
    </w:p>
    <w:p w14:paraId="6F809F00" w14:textId="77777777" w:rsidR="009D5550" w:rsidRPr="009D5550" w:rsidRDefault="009D5550" w:rsidP="009D5550">
      <w:pPr>
        <w:tabs>
          <w:tab w:val="left" w:pos="360"/>
        </w:tabs>
        <w:jc w:val="both"/>
      </w:pPr>
      <w:r>
        <w:t>2</w:t>
      </w:r>
      <w:r w:rsidRPr="009D5550">
        <w:t xml:space="preserve">. (a) The pdf (probability density function) describes how likely it is that a random variable following a given distribution (e.g., the normal) will take on a value within a given range. The cdf (cumulative distribution function), on the other hand, is a function giving the probability that the random variable will take on a value lower than some pre-specified value (call this </w:t>
      </w:r>
      <w:r w:rsidRPr="009D5550">
        <w:rPr>
          <w:i/>
        </w:rPr>
        <w:t>z</w:t>
      </w:r>
      <w:r w:rsidRPr="009D5550">
        <w:t xml:space="preserve">). The cdf gives the area under the pdf from minus infinity up to that point </w:t>
      </w:r>
      <w:r w:rsidRPr="009D5550">
        <w:rPr>
          <w:i/>
        </w:rPr>
        <w:t>z</w:t>
      </w:r>
      <w:r w:rsidRPr="009D5550">
        <w:t xml:space="preserve"> and thus we can think of the cdf as the integral of the pdf whereas the pdf is the derivative of the cdf. To illustrate, a pdf could give the probability that a share price will increase by between 10% and 20% in a given year, while the cdf could give the probability that the increase will be less than 5%. </w:t>
      </w:r>
    </w:p>
    <w:p w14:paraId="3460A3CF" w14:textId="77777777" w:rsidR="009D5550" w:rsidRPr="009D5550" w:rsidRDefault="009D5550" w:rsidP="009D5550">
      <w:pPr>
        <w:tabs>
          <w:tab w:val="left" w:pos="360"/>
        </w:tabs>
        <w:jc w:val="both"/>
      </w:pPr>
    </w:p>
    <w:p w14:paraId="7A7909BF" w14:textId="30558811" w:rsidR="009D5550" w:rsidRPr="009D5550" w:rsidRDefault="00757AE1" w:rsidP="009D5550">
      <w:pPr>
        <w:tabs>
          <w:tab w:val="left" w:pos="360"/>
        </w:tabs>
        <w:jc w:val="both"/>
      </w:pPr>
      <w:r>
        <w:t xml:space="preserve">     (b) The pdf has a ‘bell shape’</w:t>
      </w:r>
      <w:r w:rsidR="009D5550" w:rsidRPr="009D5550">
        <w:t>, while the cdf is a sigmoid (S-shape).</w:t>
      </w:r>
    </w:p>
    <w:p w14:paraId="1077E484" w14:textId="77777777" w:rsidR="009D5550" w:rsidRPr="009D5550" w:rsidRDefault="009D5550" w:rsidP="009D5550">
      <w:pPr>
        <w:tabs>
          <w:tab w:val="left" w:pos="360"/>
        </w:tabs>
        <w:jc w:val="both"/>
      </w:pPr>
    </w:p>
    <w:p w14:paraId="628666CE" w14:textId="77777777" w:rsidR="009D5550" w:rsidRPr="009D5550" w:rsidRDefault="009D5550" w:rsidP="009D5550">
      <w:pPr>
        <w:tabs>
          <w:tab w:val="left" w:pos="360"/>
        </w:tabs>
        <w:jc w:val="both"/>
      </w:pPr>
      <w:r>
        <w:t>3</w:t>
      </w:r>
      <w:r w:rsidRPr="009D5550">
        <w:t xml:space="preserve">. The central limit theorem (CLT) states that the mean of a sample of data having any distribution converges upon a normal distribution as the sample size tends to infinity. This is an important result in statistics since it shows that even if the raw data are not normally distributed, the distribution of their mean will converge on a normal as the sample increases. Hence the conventional approach to statistics involving hypothesis testing using the normal or </w:t>
      </w:r>
      <w:r w:rsidRPr="009D5550">
        <w:rPr>
          <w:i/>
        </w:rPr>
        <w:t>t</w:t>
      </w:r>
      <w:r w:rsidRPr="009D5550">
        <w:t>-distribution tables can be applied. Without the CLT, it would not be valid to use these tables to find critical values.</w:t>
      </w:r>
    </w:p>
    <w:p w14:paraId="5922D848" w14:textId="77777777" w:rsidR="009D5550" w:rsidRPr="009D5550" w:rsidRDefault="009D5550" w:rsidP="009D5550">
      <w:pPr>
        <w:tabs>
          <w:tab w:val="left" w:pos="360"/>
        </w:tabs>
        <w:jc w:val="both"/>
      </w:pPr>
    </w:p>
    <w:p w14:paraId="28D02E21" w14:textId="5C51C9BE" w:rsidR="009D5550" w:rsidRPr="009D5550" w:rsidRDefault="009D5550" w:rsidP="009D5550">
      <w:pPr>
        <w:tabs>
          <w:tab w:val="left" w:pos="360"/>
        </w:tabs>
        <w:jc w:val="both"/>
      </w:pPr>
      <w:r>
        <w:t>4</w:t>
      </w:r>
      <w:r w:rsidRPr="009D5550">
        <w:t>. All three are measures of central tendency – i.e. they capture the average or ‘typical’ behaviour of a series. The (arithmetic) mean is simply calculated as the sum of all values in a series divided by the number of values, whereas the mode measures the most frequently occurring value in a series and the median is the middle value in a series when the elements are arranged in an ascending order. It is not possible to say that one of these three measures is better than the other two – each has its own advantages and disadvantages. The benefit of the mean is that it fully encapsulates the information from all data points in the series and it is the most familiar method to most researchers, but can be unduly affected by extreme values and in such cases, it may not be representative of most of the data. The mode is arguably the easiest to obtain, but is not suitable for continuous, non-integer data (e.g., returns or yields) or for distributions that incorporate two or more peaks (known as bimodal and multi-modal distributions</w:t>
      </w:r>
      <w:r w:rsidR="00757AE1">
        <w:t>,</w:t>
      </w:r>
      <w:r w:rsidRPr="009D5550">
        <w:t xml:space="preserve"> respectively). The median is often considered to be a useful representation of the ‘typical’ value of a series, but has the drawback that its calculation is based essentially on one observation. Thus if, for example, we had a series containing 10 observations and we were to double the values of the top three data points, the median would be unch</w:t>
      </w:r>
      <w:bookmarkStart w:id="0" w:name="_GoBack"/>
      <w:bookmarkEnd w:id="0"/>
      <w:r w:rsidRPr="009D5550">
        <w:t>anged.</w:t>
      </w:r>
    </w:p>
    <w:p w14:paraId="55867803" w14:textId="77777777" w:rsidR="009D5550" w:rsidRPr="009D5550" w:rsidRDefault="009D5550" w:rsidP="009D5550">
      <w:pPr>
        <w:tabs>
          <w:tab w:val="left" w:pos="360"/>
        </w:tabs>
        <w:jc w:val="both"/>
      </w:pPr>
    </w:p>
    <w:p w14:paraId="22B6E4A2" w14:textId="77777777" w:rsidR="009D5550" w:rsidRPr="009D5550" w:rsidRDefault="009D5550" w:rsidP="009D5550">
      <w:pPr>
        <w:tabs>
          <w:tab w:val="left" w:pos="360"/>
        </w:tabs>
        <w:jc w:val="both"/>
      </w:pPr>
      <w:r>
        <w:lastRenderedPageBreak/>
        <w:t>5</w:t>
      </w:r>
      <w:r w:rsidRPr="009D5550">
        <w:t>. Again, it is not possible to state that one approach is always better than the other – it really depends on what the estimated mean will be used for. Geometric returns are harder to calculate but give the fixed return on the asset or portfolio that would have been required to match the actual performance, which is not the case for the arithmetic mean. Thus, if you assumed that the arithmetic mean return had been earned on the asset every year, you would not reach the correct value of the asset or portfolio at the end. But it could be shown that the geometric return is always less than or equal to the arithmetic return, and so the geometric return is a downward-biased predictor of future performance. Hence, if the objective is to summarise historical performance, the geometric mean is more appropriate, but if we want to forecast future returns, the arithmetic mean is the one to use.</w:t>
      </w:r>
    </w:p>
    <w:p w14:paraId="5D6DD0A6" w14:textId="77777777" w:rsidR="009D5550" w:rsidRPr="009D5550" w:rsidRDefault="009D5550" w:rsidP="009D5550">
      <w:pPr>
        <w:tabs>
          <w:tab w:val="left" w:pos="360"/>
        </w:tabs>
        <w:jc w:val="both"/>
      </w:pPr>
    </w:p>
    <w:p w14:paraId="58EA5A2D" w14:textId="5B00F383" w:rsidR="009D5550" w:rsidRPr="009D5550" w:rsidRDefault="009D5550" w:rsidP="009D5550">
      <w:pPr>
        <w:tabs>
          <w:tab w:val="left" w:pos="360"/>
        </w:tabs>
        <w:jc w:val="both"/>
      </w:pPr>
      <w:r>
        <w:t>6</w:t>
      </w:r>
      <w:r w:rsidRPr="009D5550">
        <w:t xml:space="preserve">. Not necessarily. The covariance between two random variables, call them </w:t>
      </w:r>
      <w:r w:rsidRPr="009D5550">
        <w:rPr>
          <w:i/>
        </w:rPr>
        <w:t>x</w:t>
      </w:r>
      <w:r w:rsidRPr="009D5550">
        <w:t xml:space="preserve"> and </w:t>
      </w:r>
      <w:r w:rsidRPr="009D5550">
        <w:rPr>
          <w:i/>
        </w:rPr>
        <w:t>y</w:t>
      </w:r>
      <w:r w:rsidRPr="009D5550">
        <w:t xml:space="preserve">, will scale with </w:t>
      </w:r>
      <w:r w:rsidRPr="009D5550">
        <w:rPr>
          <w:i/>
        </w:rPr>
        <w:t>x</w:t>
      </w:r>
      <w:r w:rsidRPr="009D5550">
        <w:t xml:space="preserve"> multiplied by </w:t>
      </w:r>
      <w:r w:rsidRPr="009D5550">
        <w:rPr>
          <w:i/>
        </w:rPr>
        <w:t>y</w:t>
      </w:r>
      <w:r w:rsidRPr="009D5550">
        <w:t xml:space="preserve">. So, if we multiplied all of the values in a series </w:t>
      </w:r>
      <w:r w:rsidRPr="009D5550">
        <w:rPr>
          <w:i/>
        </w:rPr>
        <w:t>x</w:t>
      </w:r>
      <w:r w:rsidRPr="009D5550">
        <w:t xml:space="preserve"> by 10, the covariance would also increase by a factor of 10 but the variables would not really be any more closely related than they were before. Thus the numerical value that the covariance takes does not have a straightforward interpretation and 0.99 may or may not indicate a high degree of association depending on the scaling of the data. If the correlation figure was 0.99</w:t>
      </w:r>
      <w:r w:rsidR="00757AE1">
        <w:t>,</w:t>
      </w:r>
      <w:r w:rsidRPr="009D5550">
        <w:t xml:space="preserve"> by contrast, this would be a clear demonstration that the two series are strongly positively correlated since the correlation measure is constructed so that it must lie between </w:t>
      </w:r>
      <w:r w:rsidR="00757AE1">
        <w:t>–</w:t>
      </w:r>
      <w:r w:rsidRPr="009D5550">
        <w:t xml:space="preserve">1 and +1. </w:t>
      </w:r>
    </w:p>
    <w:p w14:paraId="31926370" w14:textId="77777777" w:rsidR="009D5550" w:rsidRPr="009D5550" w:rsidRDefault="009D5550" w:rsidP="009D5550">
      <w:pPr>
        <w:tabs>
          <w:tab w:val="left" w:pos="360"/>
        </w:tabs>
        <w:jc w:val="both"/>
        <w:rPr>
          <w:b/>
        </w:rPr>
      </w:pPr>
    </w:p>
    <w:p w14:paraId="57FD9986" w14:textId="77777777" w:rsidR="00165BEC" w:rsidRPr="009D5550" w:rsidRDefault="00165BEC" w:rsidP="00165BEC">
      <w:pPr>
        <w:tabs>
          <w:tab w:val="left" w:pos="360"/>
        </w:tabs>
        <w:jc w:val="both"/>
      </w:pPr>
      <w:r w:rsidRPr="009D5550">
        <w:t>7. (a) Continuous data come from series that can take on any value (possibly within a given range) and can be measured to any arbitrary degree of precision such as the weight of a lump of cheese or the average return on a stock, but discrete data can only take certain specific values – for example, the number of houses in a street.</w:t>
      </w:r>
    </w:p>
    <w:p w14:paraId="36F7A1B7" w14:textId="77777777" w:rsidR="00165BEC" w:rsidRPr="009D5550" w:rsidRDefault="00165BEC" w:rsidP="00165BEC">
      <w:pPr>
        <w:jc w:val="both"/>
      </w:pPr>
    </w:p>
    <w:p w14:paraId="5503C2DE" w14:textId="545898E9" w:rsidR="00165BEC" w:rsidRPr="009D5550" w:rsidRDefault="00165BEC" w:rsidP="00165BEC">
      <w:pPr>
        <w:jc w:val="both"/>
      </w:pPr>
      <w:r w:rsidRPr="009D5550">
        <w:t>(b) Ordinal data arise where a variable is limited so that its values define a position or ordering only, and thus the precise values that the variable takes have no direct interpretation – for example, the performance ranking of a mutual fund among a set of 20 such funds. Nominal data</w:t>
      </w:r>
      <w:r w:rsidR="00757AE1">
        <w:t>,</w:t>
      </w:r>
      <w:r w:rsidRPr="009D5550">
        <w:t xml:space="preserve"> by contrast</w:t>
      </w:r>
      <w:r w:rsidR="00757AE1">
        <w:t>,</w:t>
      </w:r>
      <w:r w:rsidRPr="009D5550">
        <w:t xml:space="preserve"> occur when there is no natural ordering of the values at all, so a figure of 12 is simply different to that of a figure of 6, but could not be considered to be better or worse in any sense. Such data often arise when numerical values are arbitrarily assigned, such as telephone numbers or when codings are assigned to qualitative data (e.g.</w:t>
      </w:r>
      <w:r w:rsidR="00757AE1">
        <w:t>,</w:t>
      </w:r>
      <w:r w:rsidRPr="009D5550">
        <w:t xml:space="preserve"> when describing the exchange that a US</w:t>
      </w:r>
    </w:p>
    <w:p w14:paraId="0C57B33E" w14:textId="77777777" w:rsidR="00165BEC" w:rsidRPr="009D5550" w:rsidRDefault="00165BEC" w:rsidP="00165BEC">
      <w:pPr>
        <w:jc w:val="both"/>
      </w:pPr>
      <w:r w:rsidRPr="009D5550">
        <w:t>stock is traded on, ‘1’ might be used to denote the NYSE, ‘2’ to denote the NASDAQ and ‘3’ to denote the AMEX).</w:t>
      </w:r>
    </w:p>
    <w:p w14:paraId="1B83F6EA" w14:textId="77777777" w:rsidR="00165BEC" w:rsidRPr="009D5550" w:rsidRDefault="00165BEC" w:rsidP="00165BEC">
      <w:pPr>
        <w:jc w:val="both"/>
      </w:pPr>
    </w:p>
    <w:p w14:paraId="30A43AFD" w14:textId="65EF07B9" w:rsidR="00165BEC" w:rsidRPr="009D5550" w:rsidRDefault="00165BEC" w:rsidP="00165BEC">
      <w:pPr>
        <w:jc w:val="both"/>
      </w:pPr>
      <w:r w:rsidRPr="009D5550">
        <w:t>(c) Time-series data are data that have been collected over a period of time on one or more variables – for example, a series of house prices, observed monthly for ten years in a particular region. Thus there is no cross-sectional element in this case so there is a single entity being examined – so one country, one stock, one firm, etc. Panel data, by contrast, simultaneously have the dimensions of both time series and cross-sections, e.g.</w:t>
      </w:r>
      <w:r w:rsidR="00757AE1">
        <w:t>,</w:t>
      </w:r>
      <w:r w:rsidRPr="009D5550">
        <w:t xml:space="preserve"> the daily prices of a number of blue chip stocks over two years. Here we have both many time points and (days) many entities (firms) in the sample. </w:t>
      </w:r>
    </w:p>
    <w:p w14:paraId="2777B66E" w14:textId="77777777" w:rsidR="00165BEC" w:rsidRPr="009D5550" w:rsidRDefault="00165BEC" w:rsidP="00165BEC">
      <w:pPr>
        <w:jc w:val="both"/>
      </w:pPr>
    </w:p>
    <w:p w14:paraId="369E6E7B" w14:textId="77777777" w:rsidR="00165BEC" w:rsidRPr="009D5550" w:rsidRDefault="00165BEC" w:rsidP="00165BEC">
      <w:pPr>
        <w:jc w:val="both"/>
      </w:pPr>
      <w:r w:rsidRPr="009D5550">
        <w:t xml:space="preserve">(d) The distinction between noisy and clean data is a subtle one. In general, ‘noisy’ refers to data that have a large amount of random variation which is considered an uninteresting feature that might get in the way of uncovering the underlying behaviour. The noise might simply be random variation in a series due to its volatility, </w:t>
      </w:r>
      <w:r w:rsidRPr="009D5550">
        <w:lastRenderedPageBreak/>
        <w:t xml:space="preserve">or it might occur as a result of recording or measurement errors. To a large extent, almost all series that we encounter in economics and finance are noisy. Clean data refers to series where the amount of noise is at a minimal level and the data are at least free of errors.  </w:t>
      </w:r>
    </w:p>
    <w:p w14:paraId="77013A53" w14:textId="77777777" w:rsidR="00165BEC" w:rsidRPr="009D5550" w:rsidRDefault="00165BEC" w:rsidP="00165BEC">
      <w:pPr>
        <w:jc w:val="both"/>
      </w:pPr>
    </w:p>
    <w:p w14:paraId="05277399" w14:textId="1E081F52" w:rsidR="00165BEC" w:rsidRPr="009D5550" w:rsidRDefault="00165BEC" w:rsidP="00165BEC">
      <w:pPr>
        <w:jc w:val="both"/>
      </w:pPr>
      <w:r w:rsidRPr="009D5550">
        <w:t>(e) The main difference between simple and continuously compounded returns are the following: (i) continuously compounded returns are additive across time while simple returns are not and (ii) simple returns are additive across assets but continuously compounded returns are not (that’s because the log of a sum is not the same as the sum of logs). Therefore, computing cumulative returns (across time) is an easy task when one uses simple returns but a difficult one when one uses continuously compounded returns. When building a portfolio, one has to be careful to use simple returns (i.e.</w:t>
      </w:r>
      <w:r w:rsidR="00757AE1">
        <w:t>,</w:t>
      </w:r>
      <w:r w:rsidRPr="009D5550">
        <w:t xml:space="preserve"> apply the weights to the simple returns) given that continuously compounded returns are not additive across assets.</w:t>
      </w:r>
    </w:p>
    <w:p w14:paraId="558A685B" w14:textId="77777777" w:rsidR="00165BEC" w:rsidRPr="009D5550" w:rsidRDefault="00165BEC" w:rsidP="00165BEC">
      <w:pPr>
        <w:jc w:val="both"/>
      </w:pPr>
    </w:p>
    <w:p w14:paraId="39D2589B" w14:textId="77777777" w:rsidR="00165BEC" w:rsidRPr="009D5550" w:rsidRDefault="00165BEC" w:rsidP="00165BEC">
      <w:pPr>
        <w:jc w:val="both"/>
      </w:pPr>
      <w:r w:rsidRPr="009D5550">
        <w:t>(f) A real series is one that is net of the effect of inflation. Deflating by an asset’s price by an index of aggregate prices in an economy yields a real price for the asset. The real return on an asset is equal to the nominal return on the asset minus the inflation rate.</w:t>
      </w:r>
    </w:p>
    <w:p w14:paraId="559DFB36" w14:textId="77777777" w:rsidR="00165BEC" w:rsidRPr="009D5550" w:rsidRDefault="00165BEC" w:rsidP="00165BEC">
      <w:pPr>
        <w:jc w:val="both"/>
      </w:pPr>
      <w:r w:rsidRPr="009D5550">
        <w:t xml:space="preserve"> </w:t>
      </w:r>
    </w:p>
    <w:p w14:paraId="28BB3CB5" w14:textId="4093369E" w:rsidR="00165BEC" w:rsidRPr="009D5550" w:rsidRDefault="00165BEC" w:rsidP="00165BEC">
      <w:pPr>
        <w:jc w:val="both"/>
      </w:pPr>
      <w:r w:rsidRPr="009D5550">
        <w:t>(g) These are different philosophical approaches to how the data are used in building models. Classical statistics involve building a theoretical model first and then ‘showing it to the data’ with the parameter estimates being freely determined by the data. Bayesian statistics, on the other hand, involve the data and theory working more closely together. The researcher would start with an assessment of the existing state of knowledge or beliefs, formulated into a set of probabilities. These prior inputs or priors would then be combined with the observed data via a likelihood function. The beliefs and the probabilities would then be updated as a result of the model estimation, resulting in a set of posterior probabilities. Probabilities are thus updated sequentially, as more data become available.</w:t>
      </w:r>
    </w:p>
    <w:p w14:paraId="3214A96C" w14:textId="77777777" w:rsidR="00165BEC" w:rsidRPr="009D5550" w:rsidRDefault="00165BEC" w:rsidP="00165BEC">
      <w:pPr>
        <w:jc w:val="both"/>
      </w:pPr>
    </w:p>
    <w:p w14:paraId="5DB45A84" w14:textId="6AA32FCD" w:rsidR="00165BEC" w:rsidRPr="009D5550" w:rsidRDefault="00165BEC" w:rsidP="00165BEC">
      <w:pPr>
        <w:jc w:val="both"/>
      </w:pPr>
      <w:r w:rsidRPr="009D5550">
        <w:t>8. There is certainly no shortage of possible examples that could be listed here. It is important to note that in many instances a specific problem could be tackled using time-series or cross-sectional or panel data, although it might be that one approach would be more insightful than the others. The following examples were used in the book</w:t>
      </w:r>
      <w:r w:rsidR="00757AE1">
        <w:t>.</w:t>
      </w:r>
    </w:p>
    <w:p w14:paraId="6B016253" w14:textId="77777777" w:rsidR="00165BEC" w:rsidRPr="009D5550" w:rsidRDefault="00165BEC" w:rsidP="00165BEC">
      <w:pPr>
        <w:jc w:val="both"/>
      </w:pPr>
    </w:p>
    <w:p w14:paraId="2F260B54" w14:textId="38B6255A" w:rsidR="00165BEC" w:rsidRPr="009D5550" w:rsidRDefault="00165BEC" w:rsidP="00165BEC">
      <w:pPr>
        <w:jc w:val="both"/>
      </w:pPr>
      <w:r w:rsidRPr="009D5550">
        <w:t>Problems that could be tackled using time</w:t>
      </w:r>
      <w:r w:rsidR="00757AE1">
        <w:t>-</w:t>
      </w:r>
      <w:r w:rsidRPr="009D5550">
        <w:t>series data</w:t>
      </w:r>
    </w:p>
    <w:p w14:paraId="618D750C" w14:textId="77777777" w:rsidR="00165BEC" w:rsidRPr="009D5550" w:rsidRDefault="00165BEC" w:rsidP="00165BEC">
      <w:pPr>
        <w:numPr>
          <w:ilvl w:val="0"/>
          <w:numId w:val="3"/>
        </w:numPr>
        <w:jc w:val="both"/>
      </w:pPr>
      <w:r w:rsidRPr="009D5550">
        <w:t>How the value of a country’s stock index has varied with that country’s macroeconomic fundamentals.</w:t>
      </w:r>
    </w:p>
    <w:p w14:paraId="0AD03DE8" w14:textId="77777777" w:rsidR="00165BEC" w:rsidRPr="009D5550" w:rsidRDefault="00165BEC" w:rsidP="00165BEC">
      <w:pPr>
        <w:numPr>
          <w:ilvl w:val="0"/>
          <w:numId w:val="3"/>
        </w:numPr>
        <w:jc w:val="both"/>
      </w:pPr>
      <w:r w:rsidRPr="009D5550">
        <w:t>How the value of a company’s stock price has varied when it announced the value of its dividend payment.</w:t>
      </w:r>
    </w:p>
    <w:p w14:paraId="71E39A03" w14:textId="77777777" w:rsidR="00165BEC" w:rsidRPr="009D5550" w:rsidRDefault="00165BEC" w:rsidP="00165BEC">
      <w:pPr>
        <w:numPr>
          <w:ilvl w:val="0"/>
          <w:numId w:val="3"/>
        </w:numPr>
        <w:jc w:val="both"/>
      </w:pPr>
      <w:r w:rsidRPr="009D5550">
        <w:t>The effect on a country’s exchange rate of an increase in its trade deficit.</w:t>
      </w:r>
    </w:p>
    <w:p w14:paraId="43984FCA" w14:textId="77777777" w:rsidR="00165BEC" w:rsidRPr="009D5550" w:rsidRDefault="00165BEC" w:rsidP="00165BEC">
      <w:pPr>
        <w:jc w:val="both"/>
      </w:pPr>
    </w:p>
    <w:p w14:paraId="4539C509" w14:textId="77777777" w:rsidR="00165BEC" w:rsidRPr="009D5550" w:rsidRDefault="00165BEC" w:rsidP="00165BEC">
      <w:pPr>
        <w:jc w:val="both"/>
      </w:pPr>
      <w:r w:rsidRPr="009D5550">
        <w:t>Problems that could be tackled using cross-sectional data:</w:t>
      </w:r>
    </w:p>
    <w:p w14:paraId="5448BD24" w14:textId="77777777" w:rsidR="00165BEC" w:rsidRPr="009D5550" w:rsidRDefault="00165BEC" w:rsidP="00165BEC">
      <w:pPr>
        <w:numPr>
          <w:ilvl w:val="0"/>
          <w:numId w:val="2"/>
        </w:numPr>
        <w:jc w:val="both"/>
      </w:pPr>
      <w:r w:rsidRPr="009D5550">
        <w:t>The relationship between company size and the return to investing in its shares.</w:t>
      </w:r>
    </w:p>
    <w:p w14:paraId="058CE3E0" w14:textId="77777777" w:rsidR="00165BEC" w:rsidRPr="009D5550" w:rsidRDefault="00165BEC" w:rsidP="00165BEC">
      <w:pPr>
        <w:numPr>
          <w:ilvl w:val="0"/>
          <w:numId w:val="2"/>
        </w:numPr>
        <w:jc w:val="both"/>
      </w:pPr>
      <w:r w:rsidRPr="009D5550">
        <w:t>The relationship between a country’s GDP level and the probability that the government will default on its sovereign debt.</w:t>
      </w:r>
    </w:p>
    <w:p w14:paraId="090EBB08" w14:textId="77777777" w:rsidR="00165BEC" w:rsidRPr="009D5550" w:rsidRDefault="00165BEC" w:rsidP="00165BEC">
      <w:pPr>
        <w:jc w:val="both"/>
      </w:pPr>
    </w:p>
    <w:p w14:paraId="1529CD4B" w14:textId="77777777" w:rsidR="00165BEC" w:rsidRPr="009D5550" w:rsidRDefault="00165BEC" w:rsidP="00165BEC">
      <w:pPr>
        <w:jc w:val="both"/>
      </w:pPr>
      <w:r w:rsidRPr="009D5550">
        <w:lastRenderedPageBreak/>
        <w:t xml:space="preserve">Potentially, any of the above issues that could be considered in the time-series or cross-sectional frameworks could also be tackled in a panel context. </w:t>
      </w:r>
    </w:p>
    <w:p w14:paraId="7FB5703D" w14:textId="77777777" w:rsidR="00165BEC" w:rsidRPr="009D5550" w:rsidRDefault="00165BEC" w:rsidP="00165BEC">
      <w:pPr>
        <w:jc w:val="both"/>
      </w:pPr>
    </w:p>
    <w:p w14:paraId="6E9FC4A0" w14:textId="3EC3CA62" w:rsidR="00165BEC" w:rsidRPr="009D5550" w:rsidRDefault="00165BEC" w:rsidP="00165BEC">
      <w:pPr>
        <w:jc w:val="both"/>
      </w:pPr>
      <w:r w:rsidRPr="009D5550">
        <w:t>9. Asset return time-series have a number of stylised features that are common whether they are referring to stocks, bonds, house prices, etc. The key ones are</w:t>
      </w:r>
    </w:p>
    <w:p w14:paraId="024720B2" w14:textId="77777777" w:rsidR="00165BEC" w:rsidRPr="009D5550" w:rsidRDefault="00165BEC" w:rsidP="00165BEC">
      <w:pPr>
        <w:numPr>
          <w:ilvl w:val="0"/>
          <w:numId w:val="4"/>
        </w:numPr>
        <w:jc w:val="both"/>
      </w:pPr>
      <w:r w:rsidRPr="009D5550">
        <w:t>There is a lot of data available!</w:t>
      </w:r>
    </w:p>
    <w:p w14:paraId="7DBDF5CC" w14:textId="77777777" w:rsidR="00165BEC" w:rsidRPr="009D5550" w:rsidRDefault="00165BEC" w:rsidP="00165BEC">
      <w:pPr>
        <w:numPr>
          <w:ilvl w:val="0"/>
          <w:numId w:val="4"/>
        </w:numPr>
        <w:jc w:val="both"/>
      </w:pPr>
      <w:r w:rsidRPr="009D5550">
        <w:t>They are noisy and volatile.</w:t>
      </w:r>
    </w:p>
    <w:p w14:paraId="7B8B8899" w14:textId="77777777" w:rsidR="00165BEC" w:rsidRPr="009D5550" w:rsidRDefault="00165BEC" w:rsidP="00165BEC">
      <w:pPr>
        <w:numPr>
          <w:ilvl w:val="0"/>
          <w:numId w:val="4"/>
        </w:numPr>
        <w:jc w:val="both"/>
      </w:pPr>
      <w:r w:rsidRPr="009D5550">
        <w:t>They are leptokurtic and have fatter tails than a normal distribution with the same mean and variance.</w:t>
      </w:r>
    </w:p>
    <w:p w14:paraId="33043F4F" w14:textId="77777777" w:rsidR="00165BEC" w:rsidRPr="009D5550" w:rsidRDefault="00165BEC" w:rsidP="00165BEC">
      <w:pPr>
        <w:numPr>
          <w:ilvl w:val="0"/>
          <w:numId w:val="4"/>
        </w:numPr>
        <w:jc w:val="both"/>
      </w:pPr>
      <w:r w:rsidRPr="009D5550">
        <w:t xml:space="preserve">Most such series are negatively skewed, so that large negative returns are more likely than positive returns of the same magnitude. </w:t>
      </w:r>
    </w:p>
    <w:p w14:paraId="44FD7890" w14:textId="77777777" w:rsidR="00165BEC" w:rsidRPr="009D5550" w:rsidRDefault="00165BEC" w:rsidP="00165BEC">
      <w:pPr>
        <w:numPr>
          <w:ilvl w:val="0"/>
          <w:numId w:val="4"/>
        </w:numPr>
        <w:jc w:val="both"/>
      </w:pPr>
      <w:r w:rsidRPr="009D5550">
        <w:t>They exhibit volatility clustering, so there are bursts where the series is highly volatile for a protracted period and also quiet periods where there is nothing going on for a while.</w:t>
      </w:r>
    </w:p>
    <w:p w14:paraId="4B07155D" w14:textId="77777777" w:rsidR="00165BEC" w:rsidRPr="009D5550" w:rsidRDefault="00165BEC" w:rsidP="00165BEC">
      <w:pPr>
        <w:numPr>
          <w:ilvl w:val="0"/>
          <w:numId w:val="4"/>
        </w:numPr>
        <w:jc w:val="both"/>
      </w:pPr>
      <w:r w:rsidRPr="009D5550">
        <w:t>They can often best be characterised as a random walk with drift process.</w:t>
      </w:r>
    </w:p>
    <w:p w14:paraId="69CB5D96" w14:textId="77777777" w:rsidR="00165BEC" w:rsidRPr="009D5550" w:rsidRDefault="00165BEC" w:rsidP="00165BEC">
      <w:pPr>
        <w:jc w:val="both"/>
      </w:pPr>
    </w:p>
    <w:p w14:paraId="39D2244D" w14:textId="7837DF86" w:rsidR="00165BEC" w:rsidRPr="009D5550" w:rsidRDefault="00165BEC" w:rsidP="00165BEC">
      <w:pPr>
        <w:jc w:val="both"/>
      </w:pPr>
      <w:r w:rsidRPr="009D5550">
        <w:t>10. These calculations are probably best done in a spreadsheet. If we did so, we would get the following table</w:t>
      </w:r>
    </w:p>
    <w:p w14:paraId="4DC76B86" w14:textId="77777777" w:rsidR="00165BEC" w:rsidRPr="009D5550" w:rsidRDefault="00165BEC" w:rsidP="00165BEC">
      <w:pPr>
        <w:jc w:val="both"/>
      </w:pPr>
    </w:p>
    <w:tbl>
      <w:tblPr>
        <w:tblW w:w="10833" w:type="dxa"/>
        <w:tblInd w:w="-915" w:type="dxa"/>
        <w:tblLayout w:type="fixed"/>
        <w:tblLook w:val="04A0" w:firstRow="1" w:lastRow="0" w:firstColumn="1" w:lastColumn="0" w:noHBand="0" w:noVBand="1"/>
      </w:tblPr>
      <w:tblGrid>
        <w:gridCol w:w="757"/>
        <w:gridCol w:w="810"/>
        <w:gridCol w:w="810"/>
        <w:gridCol w:w="1710"/>
        <w:gridCol w:w="2070"/>
        <w:gridCol w:w="1367"/>
        <w:gridCol w:w="1869"/>
        <w:gridCol w:w="1440"/>
      </w:tblGrid>
      <w:tr w:rsidR="00165BEC" w:rsidRPr="009D5550" w14:paraId="737CFADE" w14:textId="77777777" w:rsidTr="00165BEC">
        <w:trPr>
          <w:trHeight w:val="336"/>
        </w:trPr>
        <w:tc>
          <w:tcPr>
            <w:tcW w:w="757" w:type="dxa"/>
            <w:tcBorders>
              <w:top w:val="double" w:sz="6" w:space="0" w:color="auto"/>
              <w:left w:val="nil"/>
              <w:bottom w:val="double" w:sz="6" w:space="0" w:color="auto"/>
              <w:right w:val="nil"/>
            </w:tcBorders>
            <w:shd w:val="clear" w:color="auto" w:fill="auto"/>
            <w:noWrap/>
            <w:vAlign w:val="bottom"/>
            <w:hideMark/>
          </w:tcPr>
          <w:p w14:paraId="7674CD71" w14:textId="77777777" w:rsidR="00165BEC" w:rsidRPr="009D5550" w:rsidRDefault="00165BEC" w:rsidP="00165BEC">
            <w:pPr>
              <w:jc w:val="both"/>
              <w:rPr>
                <w:rFonts w:ascii="Calibri" w:hAnsi="Calibri"/>
                <w:sz w:val="20"/>
                <w:lang w:val="en-US"/>
              </w:rPr>
            </w:pPr>
            <w:r w:rsidRPr="009D5550">
              <w:rPr>
                <w:rFonts w:ascii="Calibri" w:hAnsi="Calibri"/>
                <w:sz w:val="20"/>
                <w:lang w:val="en-US"/>
              </w:rPr>
              <w:t>Year</w:t>
            </w:r>
          </w:p>
        </w:tc>
        <w:tc>
          <w:tcPr>
            <w:tcW w:w="810" w:type="dxa"/>
            <w:tcBorders>
              <w:top w:val="double" w:sz="6" w:space="0" w:color="auto"/>
              <w:left w:val="nil"/>
              <w:bottom w:val="double" w:sz="6" w:space="0" w:color="auto"/>
              <w:right w:val="nil"/>
            </w:tcBorders>
            <w:shd w:val="clear" w:color="auto" w:fill="auto"/>
            <w:noWrap/>
            <w:vAlign w:val="bottom"/>
            <w:hideMark/>
          </w:tcPr>
          <w:p w14:paraId="79FA591D" w14:textId="77777777" w:rsidR="00165BEC" w:rsidRPr="009D5550" w:rsidRDefault="00165BEC" w:rsidP="00165BEC">
            <w:pPr>
              <w:jc w:val="both"/>
              <w:rPr>
                <w:rFonts w:ascii="Calibri" w:hAnsi="Calibri"/>
                <w:sz w:val="20"/>
                <w:lang w:val="en-US"/>
              </w:rPr>
            </w:pPr>
            <w:r w:rsidRPr="009D5550">
              <w:rPr>
                <w:rFonts w:ascii="Calibri" w:hAnsi="Calibri"/>
                <w:sz w:val="20"/>
                <w:lang w:val="en-US"/>
              </w:rPr>
              <w:t>Bond Value</w:t>
            </w:r>
          </w:p>
        </w:tc>
        <w:tc>
          <w:tcPr>
            <w:tcW w:w="810" w:type="dxa"/>
            <w:tcBorders>
              <w:top w:val="double" w:sz="6" w:space="0" w:color="auto"/>
              <w:left w:val="nil"/>
              <w:bottom w:val="double" w:sz="6" w:space="0" w:color="auto"/>
              <w:right w:val="nil"/>
            </w:tcBorders>
            <w:shd w:val="clear" w:color="auto" w:fill="auto"/>
            <w:noWrap/>
            <w:vAlign w:val="bottom"/>
            <w:hideMark/>
          </w:tcPr>
          <w:p w14:paraId="1439B17D" w14:textId="77777777" w:rsidR="00165BEC" w:rsidRPr="009D5550" w:rsidRDefault="00165BEC" w:rsidP="00165BEC">
            <w:pPr>
              <w:jc w:val="both"/>
              <w:rPr>
                <w:rFonts w:ascii="Calibri" w:hAnsi="Calibri"/>
                <w:sz w:val="20"/>
                <w:lang w:val="en-US"/>
              </w:rPr>
            </w:pPr>
            <w:r w:rsidRPr="009D5550">
              <w:rPr>
                <w:rFonts w:ascii="Calibri" w:hAnsi="Calibri"/>
                <w:sz w:val="20"/>
                <w:lang w:val="en-US"/>
              </w:rPr>
              <w:t>CPI</w:t>
            </w:r>
          </w:p>
        </w:tc>
        <w:tc>
          <w:tcPr>
            <w:tcW w:w="1710" w:type="dxa"/>
            <w:tcBorders>
              <w:top w:val="double" w:sz="6" w:space="0" w:color="auto"/>
              <w:left w:val="nil"/>
              <w:bottom w:val="double" w:sz="6" w:space="0" w:color="auto"/>
              <w:right w:val="nil"/>
            </w:tcBorders>
            <w:shd w:val="clear" w:color="auto" w:fill="auto"/>
            <w:noWrap/>
            <w:vAlign w:val="bottom"/>
            <w:hideMark/>
          </w:tcPr>
          <w:p w14:paraId="045AB6F2" w14:textId="77777777" w:rsidR="00165BEC" w:rsidRPr="009D5550" w:rsidRDefault="00165BEC" w:rsidP="00165BEC">
            <w:pPr>
              <w:jc w:val="right"/>
              <w:rPr>
                <w:rFonts w:ascii="Calibri" w:hAnsi="Calibri"/>
                <w:sz w:val="20"/>
                <w:lang w:val="en-US"/>
              </w:rPr>
            </w:pPr>
            <w:r w:rsidRPr="009D5550">
              <w:rPr>
                <w:rFonts w:ascii="Calibri" w:hAnsi="Calibri"/>
                <w:sz w:val="20"/>
                <w:lang w:val="en-US"/>
              </w:rPr>
              <w:t>Simple Returns (in %, part (a))</w:t>
            </w:r>
          </w:p>
        </w:tc>
        <w:tc>
          <w:tcPr>
            <w:tcW w:w="2070" w:type="dxa"/>
            <w:tcBorders>
              <w:top w:val="double" w:sz="6" w:space="0" w:color="auto"/>
              <w:left w:val="nil"/>
              <w:bottom w:val="double" w:sz="6" w:space="0" w:color="auto"/>
              <w:right w:val="nil"/>
            </w:tcBorders>
            <w:shd w:val="clear" w:color="auto" w:fill="auto"/>
            <w:noWrap/>
            <w:vAlign w:val="bottom"/>
            <w:hideMark/>
          </w:tcPr>
          <w:p w14:paraId="27290DAD" w14:textId="77777777" w:rsidR="00165BEC" w:rsidRPr="009D5550" w:rsidRDefault="00165BEC" w:rsidP="00165BEC">
            <w:pPr>
              <w:jc w:val="right"/>
              <w:rPr>
                <w:rFonts w:ascii="Calibri" w:hAnsi="Calibri"/>
                <w:sz w:val="20"/>
                <w:lang w:val="en-US"/>
              </w:rPr>
            </w:pPr>
            <w:r w:rsidRPr="009D5550">
              <w:rPr>
                <w:rFonts w:ascii="Calibri" w:hAnsi="Calibri"/>
                <w:sz w:val="20"/>
                <w:lang w:val="en-US"/>
              </w:rPr>
              <w:t xml:space="preserve">Continuously Compounded Returns </w:t>
            </w:r>
          </w:p>
          <w:p w14:paraId="6CFE5C51" w14:textId="77777777" w:rsidR="00165BEC" w:rsidRPr="009D5550" w:rsidRDefault="00165BEC" w:rsidP="00165BEC">
            <w:pPr>
              <w:jc w:val="right"/>
              <w:rPr>
                <w:rFonts w:ascii="Calibri" w:hAnsi="Calibri"/>
                <w:sz w:val="20"/>
                <w:lang w:val="en-US"/>
              </w:rPr>
            </w:pPr>
            <w:r w:rsidRPr="009D5550">
              <w:rPr>
                <w:rFonts w:ascii="Calibri" w:hAnsi="Calibri"/>
                <w:sz w:val="20"/>
                <w:lang w:val="en-US"/>
              </w:rPr>
              <w:t>(in %, part (b))</w:t>
            </w:r>
          </w:p>
        </w:tc>
        <w:tc>
          <w:tcPr>
            <w:tcW w:w="1367" w:type="dxa"/>
            <w:tcBorders>
              <w:top w:val="double" w:sz="6" w:space="0" w:color="auto"/>
              <w:left w:val="nil"/>
              <w:bottom w:val="double" w:sz="6" w:space="0" w:color="auto"/>
              <w:right w:val="nil"/>
            </w:tcBorders>
            <w:shd w:val="clear" w:color="auto" w:fill="auto"/>
            <w:noWrap/>
            <w:vAlign w:val="bottom"/>
            <w:hideMark/>
          </w:tcPr>
          <w:p w14:paraId="752891A6" w14:textId="77777777" w:rsidR="00165BEC" w:rsidRPr="009D5550" w:rsidRDefault="00165BEC" w:rsidP="00165BEC">
            <w:pPr>
              <w:jc w:val="right"/>
              <w:rPr>
                <w:rFonts w:ascii="Calibri" w:hAnsi="Calibri"/>
                <w:sz w:val="20"/>
                <w:lang w:val="en-US"/>
              </w:rPr>
            </w:pPr>
            <w:r w:rsidRPr="009D5550">
              <w:rPr>
                <w:rFonts w:ascii="Calibri" w:hAnsi="Calibri"/>
                <w:sz w:val="20"/>
                <w:lang w:val="en-US"/>
              </w:rPr>
              <w:t>Bond Price in 2018 Terms</w:t>
            </w:r>
          </w:p>
        </w:tc>
        <w:tc>
          <w:tcPr>
            <w:tcW w:w="1869" w:type="dxa"/>
            <w:tcBorders>
              <w:top w:val="double" w:sz="6" w:space="0" w:color="auto"/>
              <w:left w:val="nil"/>
              <w:bottom w:val="double" w:sz="6" w:space="0" w:color="auto"/>
              <w:right w:val="nil"/>
            </w:tcBorders>
            <w:shd w:val="clear" w:color="auto" w:fill="auto"/>
            <w:noWrap/>
            <w:vAlign w:val="bottom"/>
            <w:hideMark/>
          </w:tcPr>
          <w:p w14:paraId="306881D2" w14:textId="77777777" w:rsidR="00165BEC" w:rsidRPr="009D5550" w:rsidRDefault="00165BEC" w:rsidP="00165BEC">
            <w:pPr>
              <w:jc w:val="right"/>
              <w:rPr>
                <w:rFonts w:ascii="Calibri" w:hAnsi="Calibri"/>
                <w:sz w:val="20"/>
                <w:lang w:val="en-US"/>
              </w:rPr>
            </w:pPr>
            <w:r w:rsidRPr="009D5550">
              <w:rPr>
                <w:rFonts w:ascii="Calibri" w:hAnsi="Calibri"/>
                <w:sz w:val="20"/>
                <w:lang w:val="en-US"/>
              </w:rPr>
              <w:t>Inflation (in % computed as (CPI</w:t>
            </w:r>
            <w:r w:rsidRPr="009D5550">
              <w:rPr>
                <w:rFonts w:ascii="Calibri" w:hAnsi="Calibri"/>
                <w:sz w:val="20"/>
                <w:vertAlign w:val="subscript"/>
                <w:lang w:val="en-US"/>
              </w:rPr>
              <w:t>t</w:t>
            </w:r>
            <w:r w:rsidRPr="009D5550">
              <w:rPr>
                <w:rFonts w:ascii="Calibri" w:hAnsi="Calibri"/>
                <w:sz w:val="20"/>
                <w:lang w:val="en-US"/>
              </w:rPr>
              <w:t>-CPI</w:t>
            </w:r>
            <w:r w:rsidRPr="009D5550">
              <w:rPr>
                <w:rFonts w:ascii="Calibri" w:hAnsi="Calibri"/>
                <w:sz w:val="20"/>
                <w:vertAlign w:val="subscript"/>
                <w:lang w:val="en-US"/>
              </w:rPr>
              <w:t>t-1</w:t>
            </w:r>
            <w:r w:rsidRPr="009D5550">
              <w:rPr>
                <w:rFonts w:ascii="Calibri" w:hAnsi="Calibri"/>
                <w:sz w:val="20"/>
                <w:lang w:val="en-US"/>
              </w:rPr>
              <w:t>)/CPI</w:t>
            </w:r>
            <w:r w:rsidRPr="009D5550">
              <w:rPr>
                <w:rFonts w:ascii="Calibri" w:hAnsi="Calibri"/>
                <w:sz w:val="20"/>
                <w:vertAlign w:val="subscript"/>
                <w:lang w:val="en-US"/>
              </w:rPr>
              <w:t>t-1</w:t>
            </w:r>
            <w:r w:rsidRPr="009D5550">
              <w:rPr>
                <w:rFonts w:ascii="Calibri" w:hAnsi="Calibri"/>
                <w:sz w:val="20"/>
                <w:lang w:val="en-US"/>
              </w:rPr>
              <w:t>)</w:t>
            </w:r>
          </w:p>
        </w:tc>
        <w:tc>
          <w:tcPr>
            <w:tcW w:w="1440" w:type="dxa"/>
            <w:tcBorders>
              <w:top w:val="double" w:sz="6" w:space="0" w:color="auto"/>
              <w:left w:val="nil"/>
              <w:bottom w:val="double" w:sz="6" w:space="0" w:color="auto"/>
              <w:right w:val="nil"/>
            </w:tcBorders>
            <w:shd w:val="clear" w:color="auto" w:fill="auto"/>
            <w:noWrap/>
            <w:vAlign w:val="bottom"/>
            <w:hideMark/>
          </w:tcPr>
          <w:p w14:paraId="34491A26" w14:textId="1287144A" w:rsidR="00165BEC" w:rsidRPr="009D5550" w:rsidRDefault="00165BEC" w:rsidP="00165BEC">
            <w:pPr>
              <w:jc w:val="right"/>
              <w:rPr>
                <w:rFonts w:ascii="Calibri" w:hAnsi="Calibri"/>
                <w:sz w:val="20"/>
                <w:lang w:val="en-US"/>
              </w:rPr>
            </w:pPr>
            <w:r w:rsidRPr="009D5550">
              <w:rPr>
                <w:rFonts w:ascii="Calibri" w:hAnsi="Calibri"/>
                <w:sz w:val="20"/>
                <w:lang w:val="en-US"/>
              </w:rPr>
              <w:t xml:space="preserve">Real Return (Simple Return </w:t>
            </w:r>
            <w:r w:rsidR="00757AE1">
              <w:rPr>
                <w:rFonts w:ascii="Calibri" w:hAnsi="Calibri"/>
                <w:sz w:val="20"/>
                <w:lang w:val="en-US"/>
              </w:rPr>
              <w:t>-</w:t>
            </w:r>
            <w:r w:rsidRPr="009D5550">
              <w:rPr>
                <w:rFonts w:ascii="Calibri" w:hAnsi="Calibri"/>
                <w:sz w:val="20"/>
                <w:lang w:val="en-US"/>
              </w:rPr>
              <w:t>Inflation)</w:t>
            </w:r>
          </w:p>
        </w:tc>
      </w:tr>
      <w:tr w:rsidR="00165BEC" w:rsidRPr="009D5550" w14:paraId="43E25114" w14:textId="77777777" w:rsidTr="00165BEC">
        <w:trPr>
          <w:trHeight w:val="342"/>
        </w:trPr>
        <w:tc>
          <w:tcPr>
            <w:tcW w:w="757" w:type="dxa"/>
            <w:tcBorders>
              <w:top w:val="nil"/>
              <w:left w:val="nil"/>
              <w:bottom w:val="nil"/>
              <w:right w:val="nil"/>
            </w:tcBorders>
            <w:shd w:val="clear" w:color="auto" w:fill="auto"/>
            <w:noWrap/>
            <w:vAlign w:val="bottom"/>
            <w:hideMark/>
          </w:tcPr>
          <w:p w14:paraId="1CB11967" w14:textId="77777777" w:rsidR="00165BEC" w:rsidRPr="009D5550" w:rsidRDefault="00165BEC" w:rsidP="00165BEC">
            <w:pPr>
              <w:jc w:val="both"/>
              <w:rPr>
                <w:rFonts w:ascii="Calibri" w:hAnsi="Calibri"/>
                <w:sz w:val="20"/>
                <w:lang w:val="en-US"/>
              </w:rPr>
            </w:pPr>
            <w:r w:rsidRPr="009D5550">
              <w:rPr>
                <w:rFonts w:ascii="Calibri" w:hAnsi="Calibri"/>
                <w:sz w:val="20"/>
                <w:lang w:val="en-US"/>
              </w:rPr>
              <w:t>2011</w:t>
            </w:r>
          </w:p>
        </w:tc>
        <w:tc>
          <w:tcPr>
            <w:tcW w:w="810" w:type="dxa"/>
            <w:tcBorders>
              <w:top w:val="nil"/>
              <w:left w:val="nil"/>
              <w:bottom w:val="nil"/>
              <w:right w:val="nil"/>
            </w:tcBorders>
            <w:shd w:val="clear" w:color="auto" w:fill="auto"/>
            <w:noWrap/>
            <w:vAlign w:val="bottom"/>
            <w:hideMark/>
          </w:tcPr>
          <w:p w14:paraId="5128368B" w14:textId="77777777" w:rsidR="00165BEC" w:rsidRPr="009D5550" w:rsidRDefault="00165BEC" w:rsidP="00165BEC">
            <w:pPr>
              <w:jc w:val="both"/>
              <w:rPr>
                <w:rFonts w:ascii="Calibri" w:hAnsi="Calibri"/>
                <w:sz w:val="20"/>
                <w:lang w:val="en-US"/>
              </w:rPr>
            </w:pPr>
            <w:r w:rsidRPr="009D5550">
              <w:rPr>
                <w:rFonts w:ascii="Calibri" w:hAnsi="Calibri"/>
                <w:sz w:val="20"/>
                <w:lang w:val="en-US"/>
              </w:rPr>
              <w:t>36.9</w:t>
            </w:r>
          </w:p>
        </w:tc>
        <w:tc>
          <w:tcPr>
            <w:tcW w:w="810" w:type="dxa"/>
            <w:tcBorders>
              <w:top w:val="nil"/>
              <w:left w:val="nil"/>
              <w:bottom w:val="nil"/>
              <w:right w:val="nil"/>
            </w:tcBorders>
            <w:shd w:val="clear" w:color="auto" w:fill="auto"/>
            <w:noWrap/>
            <w:vAlign w:val="bottom"/>
            <w:hideMark/>
          </w:tcPr>
          <w:p w14:paraId="0EC16032" w14:textId="77777777" w:rsidR="00165BEC" w:rsidRPr="009D5550" w:rsidRDefault="00165BEC" w:rsidP="00165BEC">
            <w:pPr>
              <w:jc w:val="both"/>
              <w:rPr>
                <w:rFonts w:ascii="Calibri" w:hAnsi="Calibri"/>
                <w:sz w:val="20"/>
                <w:lang w:val="en-US"/>
              </w:rPr>
            </w:pPr>
            <w:r w:rsidRPr="009D5550">
              <w:rPr>
                <w:rFonts w:ascii="Calibri" w:hAnsi="Calibri"/>
                <w:sz w:val="20"/>
                <w:lang w:val="en-US"/>
              </w:rPr>
              <w:t>108</w:t>
            </w:r>
          </w:p>
        </w:tc>
        <w:tc>
          <w:tcPr>
            <w:tcW w:w="1710" w:type="dxa"/>
            <w:tcBorders>
              <w:top w:val="nil"/>
              <w:left w:val="nil"/>
              <w:bottom w:val="nil"/>
              <w:right w:val="nil"/>
            </w:tcBorders>
            <w:shd w:val="clear" w:color="auto" w:fill="auto"/>
            <w:noWrap/>
            <w:vAlign w:val="bottom"/>
            <w:hideMark/>
          </w:tcPr>
          <w:p w14:paraId="2B940EA5" w14:textId="77777777" w:rsidR="00165BEC" w:rsidRPr="009D5550" w:rsidRDefault="00165BEC" w:rsidP="00165BEC">
            <w:pPr>
              <w:jc w:val="right"/>
              <w:rPr>
                <w:rFonts w:ascii="Calibri" w:hAnsi="Calibri"/>
                <w:sz w:val="20"/>
                <w:lang w:val="en-US"/>
              </w:rPr>
            </w:pPr>
          </w:p>
        </w:tc>
        <w:tc>
          <w:tcPr>
            <w:tcW w:w="2070" w:type="dxa"/>
            <w:tcBorders>
              <w:top w:val="nil"/>
              <w:left w:val="nil"/>
              <w:bottom w:val="nil"/>
              <w:right w:val="nil"/>
            </w:tcBorders>
            <w:shd w:val="clear" w:color="auto" w:fill="auto"/>
            <w:noWrap/>
            <w:vAlign w:val="bottom"/>
            <w:hideMark/>
          </w:tcPr>
          <w:p w14:paraId="6A02976C" w14:textId="77777777" w:rsidR="00165BEC" w:rsidRPr="009D5550" w:rsidRDefault="00165BEC" w:rsidP="00165BEC">
            <w:pPr>
              <w:jc w:val="right"/>
              <w:rPr>
                <w:rFonts w:ascii="Calibri" w:hAnsi="Calibri"/>
                <w:sz w:val="20"/>
                <w:lang w:val="en-US"/>
              </w:rPr>
            </w:pPr>
          </w:p>
        </w:tc>
        <w:tc>
          <w:tcPr>
            <w:tcW w:w="1367" w:type="dxa"/>
            <w:tcBorders>
              <w:top w:val="nil"/>
              <w:left w:val="nil"/>
              <w:bottom w:val="nil"/>
              <w:right w:val="nil"/>
            </w:tcBorders>
            <w:shd w:val="clear" w:color="auto" w:fill="auto"/>
            <w:noWrap/>
            <w:vAlign w:val="bottom"/>
            <w:hideMark/>
          </w:tcPr>
          <w:p w14:paraId="0077EF04" w14:textId="77777777" w:rsidR="00165BEC" w:rsidRPr="009D5550" w:rsidRDefault="00165BEC" w:rsidP="00165BEC">
            <w:pPr>
              <w:jc w:val="right"/>
              <w:rPr>
                <w:rFonts w:ascii="Calibri" w:hAnsi="Calibri"/>
                <w:sz w:val="20"/>
                <w:lang w:val="en-US"/>
              </w:rPr>
            </w:pPr>
            <w:r w:rsidRPr="009D5550">
              <w:rPr>
                <w:rFonts w:ascii="Calibri" w:hAnsi="Calibri"/>
                <w:sz w:val="20"/>
                <w:lang w:val="en-US"/>
              </w:rPr>
              <w:t>42.8</w:t>
            </w:r>
          </w:p>
        </w:tc>
        <w:tc>
          <w:tcPr>
            <w:tcW w:w="1869" w:type="dxa"/>
            <w:tcBorders>
              <w:top w:val="nil"/>
              <w:left w:val="nil"/>
              <w:bottom w:val="nil"/>
              <w:right w:val="nil"/>
            </w:tcBorders>
            <w:shd w:val="clear" w:color="auto" w:fill="auto"/>
            <w:noWrap/>
            <w:vAlign w:val="bottom"/>
            <w:hideMark/>
          </w:tcPr>
          <w:p w14:paraId="14192BB2" w14:textId="77777777" w:rsidR="00165BEC" w:rsidRPr="009D5550" w:rsidRDefault="00165BEC" w:rsidP="00165BEC">
            <w:pPr>
              <w:jc w:val="right"/>
              <w:rPr>
                <w:rFonts w:ascii="Calibri" w:hAnsi="Calibri"/>
                <w:sz w:val="20"/>
                <w:lang w:val="en-US"/>
              </w:rPr>
            </w:pPr>
          </w:p>
        </w:tc>
        <w:tc>
          <w:tcPr>
            <w:tcW w:w="1440" w:type="dxa"/>
            <w:tcBorders>
              <w:top w:val="nil"/>
              <w:left w:val="nil"/>
              <w:bottom w:val="nil"/>
              <w:right w:val="nil"/>
            </w:tcBorders>
            <w:shd w:val="clear" w:color="auto" w:fill="auto"/>
            <w:noWrap/>
            <w:vAlign w:val="bottom"/>
            <w:hideMark/>
          </w:tcPr>
          <w:p w14:paraId="24AE0AD5" w14:textId="77777777" w:rsidR="00165BEC" w:rsidRPr="009D5550" w:rsidRDefault="00165BEC" w:rsidP="00165BEC">
            <w:pPr>
              <w:jc w:val="right"/>
              <w:rPr>
                <w:rFonts w:ascii="Calibri" w:hAnsi="Calibri"/>
                <w:sz w:val="20"/>
                <w:lang w:val="en-US"/>
              </w:rPr>
            </w:pPr>
          </w:p>
        </w:tc>
      </w:tr>
      <w:tr w:rsidR="00165BEC" w:rsidRPr="009D5550" w14:paraId="56FF5AF1" w14:textId="77777777" w:rsidTr="00165BEC">
        <w:trPr>
          <w:trHeight w:val="300"/>
        </w:trPr>
        <w:tc>
          <w:tcPr>
            <w:tcW w:w="757" w:type="dxa"/>
            <w:tcBorders>
              <w:top w:val="nil"/>
              <w:left w:val="nil"/>
              <w:bottom w:val="nil"/>
              <w:right w:val="nil"/>
            </w:tcBorders>
            <w:shd w:val="clear" w:color="auto" w:fill="auto"/>
            <w:noWrap/>
            <w:vAlign w:val="bottom"/>
            <w:hideMark/>
          </w:tcPr>
          <w:p w14:paraId="5C4D373B" w14:textId="77777777" w:rsidR="00165BEC" w:rsidRPr="009D5550" w:rsidRDefault="00165BEC" w:rsidP="00165BEC">
            <w:pPr>
              <w:jc w:val="both"/>
              <w:rPr>
                <w:rFonts w:ascii="Calibri" w:hAnsi="Calibri"/>
                <w:sz w:val="20"/>
                <w:lang w:val="en-US"/>
              </w:rPr>
            </w:pPr>
            <w:r w:rsidRPr="009D5550">
              <w:rPr>
                <w:rFonts w:ascii="Calibri" w:hAnsi="Calibri"/>
                <w:sz w:val="20"/>
                <w:lang w:val="en-US"/>
              </w:rPr>
              <w:t>2012</w:t>
            </w:r>
          </w:p>
        </w:tc>
        <w:tc>
          <w:tcPr>
            <w:tcW w:w="810" w:type="dxa"/>
            <w:tcBorders>
              <w:top w:val="nil"/>
              <w:left w:val="nil"/>
              <w:bottom w:val="nil"/>
              <w:right w:val="nil"/>
            </w:tcBorders>
            <w:shd w:val="clear" w:color="auto" w:fill="auto"/>
            <w:noWrap/>
            <w:vAlign w:val="bottom"/>
            <w:hideMark/>
          </w:tcPr>
          <w:p w14:paraId="194CB531" w14:textId="77777777" w:rsidR="00165BEC" w:rsidRPr="009D5550" w:rsidRDefault="00165BEC" w:rsidP="00165BEC">
            <w:pPr>
              <w:jc w:val="both"/>
              <w:rPr>
                <w:rFonts w:ascii="Calibri" w:hAnsi="Calibri"/>
                <w:sz w:val="20"/>
                <w:lang w:val="en-US"/>
              </w:rPr>
            </w:pPr>
            <w:r w:rsidRPr="009D5550">
              <w:rPr>
                <w:rFonts w:ascii="Calibri" w:hAnsi="Calibri"/>
                <w:sz w:val="20"/>
                <w:lang w:val="en-US"/>
              </w:rPr>
              <w:t>39.8</w:t>
            </w:r>
          </w:p>
        </w:tc>
        <w:tc>
          <w:tcPr>
            <w:tcW w:w="810" w:type="dxa"/>
            <w:tcBorders>
              <w:top w:val="nil"/>
              <w:left w:val="nil"/>
              <w:bottom w:val="nil"/>
              <w:right w:val="nil"/>
            </w:tcBorders>
            <w:shd w:val="clear" w:color="auto" w:fill="auto"/>
            <w:noWrap/>
            <w:vAlign w:val="bottom"/>
            <w:hideMark/>
          </w:tcPr>
          <w:p w14:paraId="2ECFDBB7" w14:textId="77777777" w:rsidR="00165BEC" w:rsidRPr="009D5550" w:rsidRDefault="00165BEC" w:rsidP="00165BEC">
            <w:pPr>
              <w:jc w:val="both"/>
              <w:rPr>
                <w:rFonts w:ascii="Calibri" w:hAnsi="Calibri"/>
                <w:sz w:val="20"/>
                <w:lang w:val="en-US"/>
              </w:rPr>
            </w:pPr>
            <w:r w:rsidRPr="009D5550">
              <w:rPr>
                <w:rFonts w:ascii="Calibri" w:hAnsi="Calibri"/>
                <w:sz w:val="20"/>
                <w:lang w:val="en-US"/>
              </w:rPr>
              <w:t>110.3</w:t>
            </w:r>
          </w:p>
        </w:tc>
        <w:tc>
          <w:tcPr>
            <w:tcW w:w="1710" w:type="dxa"/>
            <w:tcBorders>
              <w:top w:val="nil"/>
              <w:left w:val="nil"/>
              <w:bottom w:val="nil"/>
              <w:right w:val="nil"/>
            </w:tcBorders>
            <w:shd w:val="clear" w:color="auto" w:fill="auto"/>
            <w:noWrap/>
            <w:vAlign w:val="bottom"/>
            <w:hideMark/>
          </w:tcPr>
          <w:p w14:paraId="772CB6D2" w14:textId="77777777" w:rsidR="00165BEC" w:rsidRPr="009D5550" w:rsidRDefault="00165BEC" w:rsidP="00165BEC">
            <w:pPr>
              <w:jc w:val="right"/>
              <w:rPr>
                <w:rFonts w:ascii="Calibri" w:hAnsi="Calibri"/>
                <w:sz w:val="20"/>
                <w:lang w:val="en-US"/>
              </w:rPr>
            </w:pPr>
            <w:r w:rsidRPr="009D5550">
              <w:rPr>
                <w:rFonts w:ascii="Calibri" w:hAnsi="Calibri"/>
                <w:sz w:val="20"/>
                <w:lang w:val="en-US"/>
              </w:rPr>
              <w:t>7.86</w:t>
            </w:r>
          </w:p>
        </w:tc>
        <w:tc>
          <w:tcPr>
            <w:tcW w:w="2070" w:type="dxa"/>
            <w:tcBorders>
              <w:top w:val="nil"/>
              <w:left w:val="nil"/>
              <w:bottom w:val="nil"/>
              <w:right w:val="nil"/>
            </w:tcBorders>
            <w:shd w:val="clear" w:color="auto" w:fill="auto"/>
            <w:noWrap/>
            <w:vAlign w:val="bottom"/>
            <w:hideMark/>
          </w:tcPr>
          <w:p w14:paraId="096E911A" w14:textId="77777777" w:rsidR="00165BEC" w:rsidRPr="009D5550" w:rsidRDefault="00165BEC" w:rsidP="00165BEC">
            <w:pPr>
              <w:jc w:val="right"/>
              <w:rPr>
                <w:rFonts w:ascii="Calibri" w:hAnsi="Calibri"/>
                <w:sz w:val="20"/>
                <w:lang w:val="en-US"/>
              </w:rPr>
            </w:pPr>
            <w:r w:rsidRPr="009D5550">
              <w:rPr>
                <w:rFonts w:ascii="Calibri" w:hAnsi="Calibri"/>
                <w:sz w:val="20"/>
                <w:lang w:val="en-US"/>
              </w:rPr>
              <w:t>7.57</w:t>
            </w:r>
          </w:p>
        </w:tc>
        <w:tc>
          <w:tcPr>
            <w:tcW w:w="1367" w:type="dxa"/>
            <w:tcBorders>
              <w:top w:val="nil"/>
              <w:left w:val="nil"/>
              <w:bottom w:val="nil"/>
              <w:right w:val="nil"/>
            </w:tcBorders>
            <w:shd w:val="clear" w:color="auto" w:fill="auto"/>
            <w:noWrap/>
            <w:vAlign w:val="bottom"/>
            <w:hideMark/>
          </w:tcPr>
          <w:p w14:paraId="71C13AD4" w14:textId="77777777" w:rsidR="00165BEC" w:rsidRPr="009D5550" w:rsidRDefault="00165BEC" w:rsidP="00165BEC">
            <w:pPr>
              <w:jc w:val="right"/>
              <w:rPr>
                <w:rFonts w:ascii="Calibri" w:hAnsi="Calibri"/>
                <w:sz w:val="20"/>
                <w:lang w:val="en-US"/>
              </w:rPr>
            </w:pPr>
            <w:r w:rsidRPr="009D5550">
              <w:rPr>
                <w:rFonts w:ascii="Calibri" w:hAnsi="Calibri"/>
                <w:sz w:val="20"/>
                <w:lang w:val="en-US"/>
              </w:rPr>
              <w:t>45.2</w:t>
            </w:r>
          </w:p>
        </w:tc>
        <w:tc>
          <w:tcPr>
            <w:tcW w:w="1869" w:type="dxa"/>
            <w:tcBorders>
              <w:top w:val="nil"/>
              <w:left w:val="nil"/>
              <w:bottom w:val="nil"/>
              <w:right w:val="nil"/>
            </w:tcBorders>
            <w:shd w:val="clear" w:color="auto" w:fill="auto"/>
            <w:noWrap/>
            <w:vAlign w:val="bottom"/>
            <w:hideMark/>
          </w:tcPr>
          <w:p w14:paraId="1CFAD38D" w14:textId="77777777" w:rsidR="00165BEC" w:rsidRPr="009D5550" w:rsidRDefault="00165BEC" w:rsidP="00165BEC">
            <w:pPr>
              <w:jc w:val="right"/>
              <w:rPr>
                <w:rFonts w:ascii="Calibri" w:hAnsi="Calibri"/>
                <w:sz w:val="20"/>
                <w:lang w:val="en-US"/>
              </w:rPr>
            </w:pPr>
            <w:r w:rsidRPr="009D5550">
              <w:rPr>
                <w:rFonts w:ascii="Calibri" w:hAnsi="Calibri"/>
                <w:sz w:val="20"/>
                <w:lang w:val="en-US"/>
              </w:rPr>
              <w:t>2.13</w:t>
            </w:r>
          </w:p>
        </w:tc>
        <w:tc>
          <w:tcPr>
            <w:tcW w:w="1440" w:type="dxa"/>
            <w:tcBorders>
              <w:top w:val="nil"/>
              <w:left w:val="nil"/>
              <w:bottom w:val="nil"/>
              <w:right w:val="nil"/>
            </w:tcBorders>
            <w:shd w:val="clear" w:color="auto" w:fill="auto"/>
            <w:noWrap/>
            <w:vAlign w:val="bottom"/>
            <w:hideMark/>
          </w:tcPr>
          <w:p w14:paraId="5D927780" w14:textId="77777777" w:rsidR="00165BEC" w:rsidRPr="009D5550" w:rsidRDefault="00165BEC" w:rsidP="00165BEC">
            <w:pPr>
              <w:jc w:val="right"/>
              <w:rPr>
                <w:rFonts w:ascii="Calibri" w:hAnsi="Calibri"/>
                <w:sz w:val="20"/>
                <w:lang w:val="en-US"/>
              </w:rPr>
            </w:pPr>
            <w:r w:rsidRPr="009D5550">
              <w:rPr>
                <w:rFonts w:ascii="Calibri" w:hAnsi="Calibri"/>
                <w:sz w:val="20"/>
                <w:lang w:val="en-US"/>
              </w:rPr>
              <w:t>5.73</w:t>
            </w:r>
          </w:p>
        </w:tc>
      </w:tr>
      <w:tr w:rsidR="00165BEC" w:rsidRPr="009D5550" w14:paraId="1D2F77EA" w14:textId="77777777" w:rsidTr="00165BEC">
        <w:trPr>
          <w:trHeight w:val="300"/>
        </w:trPr>
        <w:tc>
          <w:tcPr>
            <w:tcW w:w="757" w:type="dxa"/>
            <w:tcBorders>
              <w:top w:val="nil"/>
              <w:left w:val="nil"/>
              <w:bottom w:val="nil"/>
              <w:right w:val="nil"/>
            </w:tcBorders>
            <w:shd w:val="clear" w:color="auto" w:fill="auto"/>
            <w:noWrap/>
            <w:vAlign w:val="bottom"/>
            <w:hideMark/>
          </w:tcPr>
          <w:p w14:paraId="1D50A98B" w14:textId="77777777" w:rsidR="00165BEC" w:rsidRPr="009D5550" w:rsidRDefault="00165BEC" w:rsidP="00165BEC">
            <w:pPr>
              <w:jc w:val="both"/>
              <w:rPr>
                <w:rFonts w:ascii="Calibri" w:hAnsi="Calibri"/>
                <w:sz w:val="20"/>
                <w:lang w:val="en-US"/>
              </w:rPr>
            </w:pPr>
            <w:r w:rsidRPr="009D5550">
              <w:rPr>
                <w:rFonts w:ascii="Calibri" w:hAnsi="Calibri"/>
                <w:sz w:val="20"/>
                <w:lang w:val="en-US"/>
              </w:rPr>
              <w:t>2013</w:t>
            </w:r>
          </w:p>
        </w:tc>
        <w:tc>
          <w:tcPr>
            <w:tcW w:w="810" w:type="dxa"/>
            <w:tcBorders>
              <w:top w:val="nil"/>
              <w:left w:val="nil"/>
              <w:bottom w:val="nil"/>
              <w:right w:val="nil"/>
            </w:tcBorders>
            <w:shd w:val="clear" w:color="auto" w:fill="auto"/>
            <w:noWrap/>
            <w:vAlign w:val="bottom"/>
            <w:hideMark/>
          </w:tcPr>
          <w:p w14:paraId="3A84F2BE" w14:textId="77777777" w:rsidR="00165BEC" w:rsidRPr="009D5550" w:rsidRDefault="00165BEC" w:rsidP="00165BEC">
            <w:pPr>
              <w:jc w:val="both"/>
              <w:rPr>
                <w:rFonts w:ascii="Calibri" w:hAnsi="Calibri"/>
                <w:sz w:val="20"/>
                <w:lang w:val="en-US"/>
              </w:rPr>
            </w:pPr>
            <w:r w:rsidRPr="009D5550">
              <w:rPr>
                <w:rFonts w:ascii="Calibri" w:hAnsi="Calibri"/>
                <w:sz w:val="20"/>
                <w:lang w:val="en-US"/>
              </w:rPr>
              <w:t>42.4</w:t>
            </w:r>
          </w:p>
        </w:tc>
        <w:tc>
          <w:tcPr>
            <w:tcW w:w="810" w:type="dxa"/>
            <w:tcBorders>
              <w:top w:val="nil"/>
              <w:left w:val="nil"/>
              <w:bottom w:val="nil"/>
              <w:right w:val="nil"/>
            </w:tcBorders>
            <w:shd w:val="clear" w:color="auto" w:fill="auto"/>
            <w:noWrap/>
            <w:vAlign w:val="bottom"/>
            <w:hideMark/>
          </w:tcPr>
          <w:p w14:paraId="1961342C" w14:textId="77777777" w:rsidR="00165BEC" w:rsidRPr="009D5550" w:rsidRDefault="00165BEC" w:rsidP="00165BEC">
            <w:pPr>
              <w:jc w:val="both"/>
              <w:rPr>
                <w:rFonts w:ascii="Calibri" w:hAnsi="Calibri"/>
                <w:sz w:val="20"/>
                <w:lang w:val="en-US"/>
              </w:rPr>
            </w:pPr>
            <w:r w:rsidRPr="009D5550">
              <w:rPr>
                <w:rFonts w:ascii="Calibri" w:hAnsi="Calibri"/>
                <w:sz w:val="20"/>
                <w:lang w:val="en-US"/>
              </w:rPr>
              <w:t>113.6</w:t>
            </w:r>
          </w:p>
        </w:tc>
        <w:tc>
          <w:tcPr>
            <w:tcW w:w="1710" w:type="dxa"/>
            <w:tcBorders>
              <w:top w:val="nil"/>
              <w:left w:val="nil"/>
              <w:bottom w:val="nil"/>
              <w:right w:val="nil"/>
            </w:tcBorders>
            <w:shd w:val="clear" w:color="auto" w:fill="auto"/>
            <w:noWrap/>
            <w:vAlign w:val="bottom"/>
            <w:hideMark/>
          </w:tcPr>
          <w:p w14:paraId="411B4AF6" w14:textId="77777777" w:rsidR="00165BEC" w:rsidRPr="009D5550" w:rsidRDefault="00165BEC" w:rsidP="00165BEC">
            <w:pPr>
              <w:jc w:val="right"/>
              <w:rPr>
                <w:rFonts w:ascii="Calibri" w:hAnsi="Calibri"/>
                <w:sz w:val="20"/>
                <w:lang w:val="en-US"/>
              </w:rPr>
            </w:pPr>
            <w:r w:rsidRPr="009D5550">
              <w:rPr>
                <w:rFonts w:ascii="Calibri" w:hAnsi="Calibri"/>
                <w:sz w:val="20"/>
                <w:lang w:val="en-US"/>
              </w:rPr>
              <w:t>6.53</w:t>
            </w:r>
          </w:p>
        </w:tc>
        <w:tc>
          <w:tcPr>
            <w:tcW w:w="2070" w:type="dxa"/>
            <w:tcBorders>
              <w:top w:val="nil"/>
              <w:left w:val="nil"/>
              <w:bottom w:val="nil"/>
              <w:right w:val="nil"/>
            </w:tcBorders>
            <w:shd w:val="clear" w:color="auto" w:fill="auto"/>
            <w:noWrap/>
            <w:vAlign w:val="bottom"/>
            <w:hideMark/>
          </w:tcPr>
          <w:p w14:paraId="4F178413" w14:textId="77777777" w:rsidR="00165BEC" w:rsidRPr="009D5550" w:rsidRDefault="00165BEC" w:rsidP="00165BEC">
            <w:pPr>
              <w:jc w:val="right"/>
              <w:rPr>
                <w:rFonts w:ascii="Calibri" w:hAnsi="Calibri"/>
                <w:sz w:val="20"/>
                <w:lang w:val="en-US"/>
              </w:rPr>
            </w:pPr>
            <w:r w:rsidRPr="009D5550">
              <w:rPr>
                <w:rFonts w:ascii="Calibri" w:hAnsi="Calibri"/>
                <w:sz w:val="20"/>
                <w:lang w:val="en-US"/>
              </w:rPr>
              <w:t>6.33</w:t>
            </w:r>
          </w:p>
        </w:tc>
        <w:tc>
          <w:tcPr>
            <w:tcW w:w="1367" w:type="dxa"/>
            <w:tcBorders>
              <w:top w:val="nil"/>
              <w:left w:val="nil"/>
              <w:bottom w:val="nil"/>
              <w:right w:val="nil"/>
            </w:tcBorders>
            <w:shd w:val="clear" w:color="auto" w:fill="auto"/>
            <w:noWrap/>
            <w:vAlign w:val="bottom"/>
            <w:hideMark/>
          </w:tcPr>
          <w:p w14:paraId="5432BC65" w14:textId="77777777" w:rsidR="00165BEC" w:rsidRPr="009D5550" w:rsidRDefault="00165BEC" w:rsidP="00165BEC">
            <w:pPr>
              <w:jc w:val="right"/>
              <w:rPr>
                <w:rFonts w:ascii="Calibri" w:hAnsi="Calibri"/>
                <w:sz w:val="20"/>
                <w:lang w:val="en-US"/>
              </w:rPr>
            </w:pPr>
            <w:r w:rsidRPr="009D5550">
              <w:rPr>
                <w:rFonts w:ascii="Calibri" w:hAnsi="Calibri"/>
                <w:sz w:val="20"/>
                <w:lang w:val="en-US"/>
              </w:rPr>
              <w:t>46.8</w:t>
            </w:r>
          </w:p>
        </w:tc>
        <w:tc>
          <w:tcPr>
            <w:tcW w:w="1869" w:type="dxa"/>
            <w:tcBorders>
              <w:top w:val="nil"/>
              <w:left w:val="nil"/>
              <w:bottom w:val="nil"/>
              <w:right w:val="nil"/>
            </w:tcBorders>
            <w:shd w:val="clear" w:color="auto" w:fill="auto"/>
            <w:noWrap/>
            <w:vAlign w:val="bottom"/>
            <w:hideMark/>
          </w:tcPr>
          <w:p w14:paraId="39725352" w14:textId="77777777" w:rsidR="00165BEC" w:rsidRPr="009D5550" w:rsidRDefault="00165BEC" w:rsidP="00165BEC">
            <w:pPr>
              <w:jc w:val="right"/>
              <w:rPr>
                <w:rFonts w:ascii="Calibri" w:hAnsi="Calibri"/>
                <w:sz w:val="20"/>
                <w:lang w:val="en-US"/>
              </w:rPr>
            </w:pPr>
            <w:r w:rsidRPr="009D5550">
              <w:rPr>
                <w:rFonts w:ascii="Calibri" w:hAnsi="Calibri"/>
                <w:sz w:val="20"/>
                <w:lang w:val="en-US"/>
              </w:rPr>
              <w:t>2.99</w:t>
            </w:r>
          </w:p>
        </w:tc>
        <w:tc>
          <w:tcPr>
            <w:tcW w:w="1440" w:type="dxa"/>
            <w:tcBorders>
              <w:top w:val="nil"/>
              <w:left w:val="nil"/>
              <w:bottom w:val="nil"/>
              <w:right w:val="nil"/>
            </w:tcBorders>
            <w:shd w:val="clear" w:color="auto" w:fill="auto"/>
            <w:noWrap/>
            <w:vAlign w:val="bottom"/>
            <w:hideMark/>
          </w:tcPr>
          <w:p w14:paraId="71F34874" w14:textId="77777777" w:rsidR="00165BEC" w:rsidRPr="009D5550" w:rsidRDefault="00165BEC" w:rsidP="00165BEC">
            <w:pPr>
              <w:jc w:val="right"/>
              <w:rPr>
                <w:rFonts w:ascii="Calibri" w:hAnsi="Calibri"/>
                <w:sz w:val="20"/>
                <w:lang w:val="en-US"/>
              </w:rPr>
            </w:pPr>
            <w:r w:rsidRPr="009D5550">
              <w:rPr>
                <w:rFonts w:ascii="Calibri" w:hAnsi="Calibri"/>
                <w:sz w:val="20"/>
                <w:lang w:val="en-US"/>
              </w:rPr>
              <w:t>3.54</w:t>
            </w:r>
          </w:p>
        </w:tc>
      </w:tr>
      <w:tr w:rsidR="00165BEC" w:rsidRPr="009D5550" w14:paraId="27F5896F" w14:textId="77777777" w:rsidTr="00165BEC">
        <w:trPr>
          <w:trHeight w:val="300"/>
        </w:trPr>
        <w:tc>
          <w:tcPr>
            <w:tcW w:w="757" w:type="dxa"/>
            <w:tcBorders>
              <w:top w:val="nil"/>
              <w:left w:val="nil"/>
              <w:bottom w:val="nil"/>
              <w:right w:val="nil"/>
            </w:tcBorders>
            <w:shd w:val="clear" w:color="auto" w:fill="auto"/>
            <w:noWrap/>
            <w:vAlign w:val="bottom"/>
            <w:hideMark/>
          </w:tcPr>
          <w:p w14:paraId="41180388" w14:textId="77777777" w:rsidR="00165BEC" w:rsidRPr="009D5550" w:rsidRDefault="00165BEC" w:rsidP="00165BEC">
            <w:pPr>
              <w:jc w:val="both"/>
              <w:rPr>
                <w:rFonts w:ascii="Calibri" w:hAnsi="Calibri"/>
                <w:sz w:val="20"/>
                <w:lang w:val="en-US"/>
              </w:rPr>
            </w:pPr>
            <w:r w:rsidRPr="009D5550">
              <w:rPr>
                <w:rFonts w:ascii="Calibri" w:hAnsi="Calibri"/>
                <w:sz w:val="20"/>
                <w:lang w:val="en-US"/>
              </w:rPr>
              <w:t>2014</w:t>
            </w:r>
          </w:p>
        </w:tc>
        <w:tc>
          <w:tcPr>
            <w:tcW w:w="810" w:type="dxa"/>
            <w:tcBorders>
              <w:top w:val="nil"/>
              <w:left w:val="nil"/>
              <w:bottom w:val="nil"/>
              <w:right w:val="nil"/>
            </w:tcBorders>
            <w:shd w:val="clear" w:color="auto" w:fill="auto"/>
            <w:noWrap/>
            <w:vAlign w:val="bottom"/>
            <w:hideMark/>
          </w:tcPr>
          <w:p w14:paraId="514C42BC" w14:textId="77777777" w:rsidR="00165BEC" w:rsidRPr="009D5550" w:rsidRDefault="00165BEC" w:rsidP="00165BEC">
            <w:pPr>
              <w:jc w:val="both"/>
              <w:rPr>
                <w:rFonts w:ascii="Calibri" w:hAnsi="Calibri"/>
                <w:sz w:val="20"/>
                <w:lang w:val="en-US"/>
              </w:rPr>
            </w:pPr>
            <w:r w:rsidRPr="009D5550">
              <w:rPr>
                <w:rFonts w:ascii="Calibri" w:hAnsi="Calibri"/>
                <w:sz w:val="20"/>
                <w:lang w:val="en-US"/>
              </w:rPr>
              <w:t>38.1</w:t>
            </w:r>
          </w:p>
        </w:tc>
        <w:tc>
          <w:tcPr>
            <w:tcW w:w="810" w:type="dxa"/>
            <w:tcBorders>
              <w:top w:val="nil"/>
              <w:left w:val="nil"/>
              <w:bottom w:val="nil"/>
              <w:right w:val="nil"/>
            </w:tcBorders>
            <w:shd w:val="clear" w:color="auto" w:fill="auto"/>
            <w:noWrap/>
            <w:vAlign w:val="bottom"/>
            <w:hideMark/>
          </w:tcPr>
          <w:p w14:paraId="75A90753" w14:textId="77777777" w:rsidR="00165BEC" w:rsidRPr="009D5550" w:rsidRDefault="00165BEC" w:rsidP="00165BEC">
            <w:pPr>
              <w:jc w:val="both"/>
              <w:rPr>
                <w:rFonts w:ascii="Calibri" w:hAnsi="Calibri"/>
                <w:sz w:val="20"/>
                <w:lang w:val="en-US"/>
              </w:rPr>
            </w:pPr>
            <w:r w:rsidRPr="009D5550">
              <w:rPr>
                <w:rFonts w:ascii="Calibri" w:hAnsi="Calibri"/>
                <w:sz w:val="20"/>
                <w:lang w:val="en-US"/>
              </w:rPr>
              <w:t>116.1</w:t>
            </w:r>
          </w:p>
        </w:tc>
        <w:tc>
          <w:tcPr>
            <w:tcW w:w="1710" w:type="dxa"/>
            <w:tcBorders>
              <w:top w:val="nil"/>
              <w:left w:val="nil"/>
              <w:bottom w:val="nil"/>
              <w:right w:val="nil"/>
            </w:tcBorders>
            <w:shd w:val="clear" w:color="auto" w:fill="auto"/>
            <w:noWrap/>
            <w:vAlign w:val="bottom"/>
            <w:hideMark/>
          </w:tcPr>
          <w:p w14:paraId="708B03F8" w14:textId="77777777" w:rsidR="00165BEC" w:rsidRPr="009D5550" w:rsidRDefault="00165BEC" w:rsidP="00165BEC">
            <w:pPr>
              <w:jc w:val="right"/>
              <w:rPr>
                <w:rFonts w:ascii="Calibri" w:hAnsi="Calibri"/>
                <w:sz w:val="20"/>
                <w:lang w:val="en-US"/>
              </w:rPr>
            </w:pPr>
            <w:r w:rsidRPr="009D5550">
              <w:rPr>
                <w:rFonts w:ascii="Calibri" w:hAnsi="Calibri"/>
                <w:sz w:val="20"/>
                <w:lang w:val="en-US"/>
              </w:rPr>
              <w:t>-10.14</w:t>
            </w:r>
          </w:p>
        </w:tc>
        <w:tc>
          <w:tcPr>
            <w:tcW w:w="2070" w:type="dxa"/>
            <w:tcBorders>
              <w:top w:val="nil"/>
              <w:left w:val="nil"/>
              <w:bottom w:val="nil"/>
              <w:right w:val="nil"/>
            </w:tcBorders>
            <w:shd w:val="clear" w:color="auto" w:fill="auto"/>
            <w:noWrap/>
            <w:vAlign w:val="bottom"/>
            <w:hideMark/>
          </w:tcPr>
          <w:p w14:paraId="20243503" w14:textId="77777777" w:rsidR="00165BEC" w:rsidRPr="009D5550" w:rsidRDefault="00165BEC" w:rsidP="00165BEC">
            <w:pPr>
              <w:jc w:val="right"/>
              <w:rPr>
                <w:rFonts w:ascii="Calibri" w:hAnsi="Calibri"/>
                <w:sz w:val="20"/>
                <w:lang w:val="en-US"/>
              </w:rPr>
            </w:pPr>
            <w:r w:rsidRPr="009D5550">
              <w:rPr>
                <w:rFonts w:ascii="Calibri" w:hAnsi="Calibri"/>
                <w:sz w:val="20"/>
                <w:lang w:val="en-US"/>
              </w:rPr>
              <w:t>-10.69</w:t>
            </w:r>
          </w:p>
        </w:tc>
        <w:tc>
          <w:tcPr>
            <w:tcW w:w="1367" w:type="dxa"/>
            <w:tcBorders>
              <w:top w:val="nil"/>
              <w:left w:val="nil"/>
              <w:bottom w:val="nil"/>
              <w:right w:val="nil"/>
            </w:tcBorders>
            <w:shd w:val="clear" w:color="auto" w:fill="auto"/>
            <w:noWrap/>
            <w:vAlign w:val="bottom"/>
            <w:hideMark/>
          </w:tcPr>
          <w:p w14:paraId="28126791" w14:textId="77777777" w:rsidR="00165BEC" w:rsidRPr="009D5550" w:rsidRDefault="00165BEC" w:rsidP="00165BEC">
            <w:pPr>
              <w:jc w:val="right"/>
              <w:rPr>
                <w:rFonts w:ascii="Calibri" w:hAnsi="Calibri"/>
                <w:sz w:val="20"/>
                <w:lang w:val="en-US"/>
              </w:rPr>
            </w:pPr>
            <w:r w:rsidRPr="009D5550">
              <w:rPr>
                <w:rFonts w:ascii="Calibri" w:hAnsi="Calibri"/>
                <w:sz w:val="20"/>
                <w:lang w:val="en-US"/>
              </w:rPr>
              <w:t>41.2</w:t>
            </w:r>
          </w:p>
        </w:tc>
        <w:tc>
          <w:tcPr>
            <w:tcW w:w="1869" w:type="dxa"/>
            <w:tcBorders>
              <w:top w:val="nil"/>
              <w:left w:val="nil"/>
              <w:bottom w:val="nil"/>
              <w:right w:val="nil"/>
            </w:tcBorders>
            <w:shd w:val="clear" w:color="auto" w:fill="auto"/>
            <w:noWrap/>
            <w:vAlign w:val="bottom"/>
            <w:hideMark/>
          </w:tcPr>
          <w:p w14:paraId="651BF758" w14:textId="77777777" w:rsidR="00165BEC" w:rsidRPr="009D5550" w:rsidRDefault="00165BEC" w:rsidP="00165BEC">
            <w:pPr>
              <w:jc w:val="right"/>
              <w:rPr>
                <w:rFonts w:ascii="Calibri" w:hAnsi="Calibri"/>
                <w:sz w:val="20"/>
                <w:lang w:val="en-US"/>
              </w:rPr>
            </w:pPr>
            <w:r w:rsidRPr="009D5550">
              <w:rPr>
                <w:rFonts w:ascii="Calibri" w:hAnsi="Calibri"/>
                <w:sz w:val="20"/>
                <w:lang w:val="en-US"/>
              </w:rPr>
              <w:t>2.20</w:t>
            </w:r>
          </w:p>
        </w:tc>
        <w:tc>
          <w:tcPr>
            <w:tcW w:w="1440" w:type="dxa"/>
            <w:tcBorders>
              <w:top w:val="nil"/>
              <w:left w:val="nil"/>
              <w:bottom w:val="nil"/>
              <w:right w:val="nil"/>
            </w:tcBorders>
            <w:shd w:val="clear" w:color="auto" w:fill="auto"/>
            <w:noWrap/>
            <w:vAlign w:val="bottom"/>
            <w:hideMark/>
          </w:tcPr>
          <w:p w14:paraId="7CECEAB8" w14:textId="77777777" w:rsidR="00165BEC" w:rsidRPr="009D5550" w:rsidRDefault="00165BEC" w:rsidP="00165BEC">
            <w:pPr>
              <w:jc w:val="right"/>
              <w:rPr>
                <w:rFonts w:ascii="Calibri" w:hAnsi="Calibri"/>
                <w:sz w:val="20"/>
                <w:lang w:val="en-US"/>
              </w:rPr>
            </w:pPr>
            <w:r w:rsidRPr="009D5550">
              <w:rPr>
                <w:rFonts w:ascii="Calibri" w:hAnsi="Calibri"/>
                <w:sz w:val="20"/>
                <w:lang w:val="en-US"/>
              </w:rPr>
              <w:t xml:space="preserve">-12.34 </w:t>
            </w:r>
          </w:p>
        </w:tc>
      </w:tr>
      <w:tr w:rsidR="00165BEC" w:rsidRPr="009D5550" w14:paraId="27F66DD9" w14:textId="77777777" w:rsidTr="00165BEC">
        <w:trPr>
          <w:trHeight w:val="300"/>
        </w:trPr>
        <w:tc>
          <w:tcPr>
            <w:tcW w:w="757" w:type="dxa"/>
            <w:tcBorders>
              <w:top w:val="nil"/>
              <w:left w:val="nil"/>
              <w:bottom w:val="nil"/>
              <w:right w:val="nil"/>
            </w:tcBorders>
            <w:shd w:val="clear" w:color="auto" w:fill="auto"/>
            <w:noWrap/>
            <w:vAlign w:val="bottom"/>
            <w:hideMark/>
          </w:tcPr>
          <w:p w14:paraId="11A63314" w14:textId="77777777" w:rsidR="00165BEC" w:rsidRPr="009D5550" w:rsidRDefault="00165BEC" w:rsidP="00165BEC">
            <w:pPr>
              <w:jc w:val="both"/>
              <w:rPr>
                <w:rFonts w:ascii="Calibri" w:hAnsi="Calibri"/>
                <w:sz w:val="20"/>
                <w:lang w:val="en-US"/>
              </w:rPr>
            </w:pPr>
            <w:r w:rsidRPr="009D5550">
              <w:rPr>
                <w:rFonts w:ascii="Calibri" w:hAnsi="Calibri"/>
                <w:sz w:val="20"/>
                <w:lang w:val="en-US"/>
              </w:rPr>
              <w:t>2015</w:t>
            </w:r>
          </w:p>
        </w:tc>
        <w:tc>
          <w:tcPr>
            <w:tcW w:w="810" w:type="dxa"/>
            <w:tcBorders>
              <w:top w:val="nil"/>
              <w:left w:val="nil"/>
              <w:bottom w:val="nil"/>
              <w:right w:val="nil"/>
            </w:tcBorders>
            <w:shd w:val="clear" w:color="auto" w:fill="auto"/>
            <w:noWrap/>
            <w:vAlign w:val="bottom"/>
            <w:hideMark/>
          </w:tcPr>
          <w:p w14:paraId="3002523F" w14:textId="77777777" w:rsidR="00165BEC" w:rsidRPr="009D5550" w:rsidRDefault="00165BEC" w:rsidP="00165BEC">
            <w:pPr>
              <w:jc w:val="both"/>
              <w:rPr>
                <w:rFonts w:ascii="Calibri" w:hAnsi="Calibri"/>
                <w:sz w:val="20"/>
                <w:lang w:val="en-US"/>
              </w:rPr>
            </w:pPr>
            <w:r w:rsidRPr="009D5550">
              <w:rPr>
                <w:rFonts w:ascii="Calibri" w:hAnsi="Calibri"/>
                <w:sz w:val="20"/>
                <w:lang w:val="en-US"/>
              </w:rPr>
              <w:t>36.4</w:t>
            </w:r>
          </w:p>
        </w:tc>
        <w:tc>
          <w:tcPr>
            <w:tcW w:w="810" w:type="dxa"/>
            <w:tcBorders>
              <w:top w:val="nil"/>
              <w:left w:val="nil"/>
              <w:bottom w:val="nil"/>
              <w:right w:val="nil"/>
            </w:tcBorders>
            <w:shd w:val="clear" w:color="auto" w:fill="auto"/>
            <w:noWrap/>
            <w:vAlign w:val="bottom"/>
            <w:hideMark/>
          </w:tcPr>
          <w:p w14:paraId="6419F567" w14:textId="77777777" w:rsidR="00165BEC" w:rsidRPr="009D5550" w:rsidRDefault="00165BEC" w:rsidP="00165BEC">
            <w:pPr>
              <w:jc w:val="both"/>
              <w:rPr>
                <w:rFonts w:ascii="Calibri" w:hAnsi="Calibri"/>
                <w:sz w:val="20"/>
                <w:lang w:val="en-US"/>
              </w:rPr>
            </w:pPr>
            <w:r w:rsidRPr="009D5550">
              <w:rPr>
                <w:rFonts w:ascii="Calibri" w:hAnsi="Calibri"/>
                <w:sz w:val="20"/>
                <w:lang w:val="en-US"/>
              </w:rPr>
              <w:t>118.4</w:t>
            </w:r>
          </w:p>
        </w:tc>
        <w:tc>
          <w:tcPr>
            <w:tcW w:w="1710" w:type="dxa"/>
            <w:tcBorders>
              <w:top w:val="nil"/>
              <w:left w:val="nil"/>
              <w:bottom w:val="nil"/>
              <w:right w:val="nil"/>
            </w:tcBorders>
            <w:shd w:val="clear" w:color="auto" w:fill="auto"/>
            <w:noWrap/>
            <w:vAlign w:val="bottom"/>
            <w:hideMark/>
          </w:tcPr>
          <w:p w14:paraId="52E86B4D" w14:textId="77777777" w:rsidR="00165BEC" w:rsidRPr="009D5550" w:rsidRDefault="00165BEC" w:rsidP="00165BEC">
            <w:pPr>
              <w:jc w:val="right"/>
              <w:rPr>
                <w:rFonts w:ascii="Calibri" w:hAnsi="Calibri"/>
                <w:sz w:val="20"/>
                <w:lang w:val="en-US"/>
              </w:rPr>
            </w:pPr>
            <w:r w:rsidRPr="009D5550">
              <w:rPr>
                <w:rFonts w:ascii="Calibri" w:hAnsi="Calibri"/>
                <w:sz w:val="20"/>
                <w:lang w:val="en-US"/>
              </w:rPr>
              <w:t>-4.46</w:t>
            </w:r>
          </w:p>
        </w:tc>
        <w:tc>
          <w:tcPr>
            <w:tcW w:w="2070" w:type="dxa"/>
            <w:tcBorders>
              <w:top w:val="nil"/>
              <w:left w:val="nil"/>
              <w:bottom w:val="nil"/>
              <w:right w:val="nil"/>
            </w:tcBorders>
            <w:shd w:val="clear" w:color="auto" w:fill="auto"/>
            <w:noWrap/>
            <w:vAlign w:val="bottom"/>
            <w:hideMark/>
          </w:tcPr>
          <w:p w14:paraId="39693E9E" w14:textId="77777777" w:rsidR="00165BEC" w:rsidRPr="009D5550" w:rsidRDefault="00165BEC" w:rsidP="00165BEC">
            <w:pPr>
              <w:jc w:val="right"/>
              <w:rPr>
                <w:rFonts w:ascii="Calibri" w:hAnsi="Calibri"/>
                <w:sz w:val="20"/>
                <w:lang w:val="en-US"/>
              </w:rPr>
            </w:pPr>
            <w:r w:rsidRPr="009D5550">
              <w:rPr>
                <w:rFonts w:ascii="Calibri" w:hAnsi="Calibri"/>
                <w:sz w:val="20"/>
                <w:lang w:val="en-US"/>
              </w:rPr>
              <w:t>-4.56</w:t>
            </w:r>
          </w:p>
        </w:tc>
        <w:tc>
          <w:tcPr>
            <w:tcW w:w="1367" w:type="dxa"/>
            <w:tcBorders>
              <w:top w:val="nil"/>
              <w:left w:val="nil"/>
              <w:bottom w:val="nil"/>
              <w:right w:val="nil"/>
            </w:tcBorders>
            <w:shd w:val="clear" w:color="auto" w:fill="auto"/>
            <w:noWrap/>
            <w:vAlign w:val="bottom"/>
            <w:hideMark/>
          </w:tcPr>
          <w:p w14:paraId="1593FE7B" w14:textId="77777777" w:rsidR="00165BEC" w:rsidRPr="009D5550" w:rsidRDefault="00165BEC" w:rsidP="00165BEC">
            <w:pPr>
              <w:jc w:val="right"/>
              <w:rPr>
                <w:rFonts w:ascii="Calibri" w:hAnsi="Calibri"/>
                <w:sz w:val="20"/>
                <w:lang w:val="en-US"/>
              </w:rPr>
            </w:pPr>
            <w:r w:rsidRPr="009D5550">
              <w:rPr>
                <w:rFonts w:ascii="Calibri" w:hAnsi="Calibri"/>
                <w:sz w:val="20"/>
                <w:lang w:val="en-US"/>
              </w:rPr>
              <w:t>38.6</w:t>
            </w:r>
          </w:p>
        </w:tc>
        <w:tc>
          <w:tcPr>
            <w:tcW w:w="1869" w:type="dxa"/>
            <w:tcBorders>
              <w:top w:val="nil"/>
              <w:left w:val="nil"/>
              <w:bottom w:val="nil"/>
              <w:right w:val="nil"/>
            </w:tcBorders>
            <w:shd w:val="clear" w:color="auto" w:fill="auto"/>
            <w:noWrap/>
            <w:vAlign w:val="bottom"/>
            <w:hideMark/>
          </w:tcPr>
          <w:p w14:paraId="6996684F" w14:textId="77777777" w:rsidR="00165BEC" w:rsidRPr="009D5550" w:rsidRDefault="00165BEC" w:rsidP="00165BEC">
            <w:pPr>
              <w:jc w:val="right"/>
              <w:rPr>
                <w:rFonts w:ascii="Calibri" w:hAnsi="Calibri"/>
                <w:sz w:val="20"/>
                <w:lang w:val="en-US"/>
              </w:rPr>
            </w:pPr>
            <w:r w:rsidRPr="009D5550">
              <w:rPr>
                <w:rFonts w:ascii="Calibri" w:hAnsi="Calibri"/>
                <w:sz w:val="20"/>
                <w:lang w:val="en-US"/>
              </w:rPr>
              <w:t>1.98</w:t>
            </w:r>
          </w:p>
        </w:tc>
        <w:tc>
          <w:tcPr>
            <w:tcW w:w="1440" w:type="dxa"/>
            <w:tcBorders>
              <w:top w:val="nil"/>
              <w:left w:val="nil"/>
              <w:bottom w:val="nil"/>
              <w:right w:val="nil"/>
            </w:tcBorders>
            <w:shd w:val="clear" w:color="auto" w:fill="auto"/>
            <w:noWrap/>
            <w:vAlign w:val="bottom"/>
            <w:hideMark/>
          </w:tcPr>
          <w:p w14:paraId="4A2C7E4F" w14:textId="77777777" w:rsidR="00165BEC" w:rsidRPr="009D5550" w:rsidRDefault="00165BEC" w:rsidP="00165BEC">
            <w:pPr>
              <w:jc w:val="right"/>
              <w:rPr>
                <w:rFonts w:ascii="Calibri" w:hAnsi="Calibri"/>
                <w:sz w:val="20"/>
                <w:lang w:val="en-US"/>
              </w:rPr>
            </w:pPr>
            <w:r w:rsidRPr="009D5550">
              <w:rPr>
                <w:rFonts w:ascii="Calibri" w:hAnsi="Calibri"/>
                <w:sz w:val="20"/>
                <w:lang w:val="en-US"/>
              </w:rPr>
              <w:t xml:space="preserve">-6.44 </w:t>
            </w:r>
          </w:p>
        </w:tc>
      </w:tr>
      <w:tr w:rsidR="00165BEC" w:rsidRPr="009D5550" w14:paraId="08461F52" w14:textId="77777777" w:rsidTr="00165BEC">
        <w:trPr>
          <w:trHeight w:val="300"/>
        </w:trPr>
        <w:tc>
          <w:tcPr>
            <w:tcW w:w="757" w:type="dxa"/>
            <w:tcBorders>
              <w:top w:val="nil"/>
              <w:left w:val="nil"/>
              <w:bottom w:val="nil"/>
              <w:right w:val="nil"/>
            </w:tcBorders>
            <w:shd w:val="clear" w:color="auto" w:fill="auto"/>
            <w:noWrap/>
            <w:vAlign w:val="bottom"/>
            <w:hideMark/>
          </w:tcPr>
          <w:p w14:paraId="33E0ECCF" w14:textId="77777777" w:rsidR="00165BEC" w:rsidRPr="009D5550" w:rsidRDefault="00165BEC" w:rsidP="00165BEC">
            <w:pPr>
              <w:jc w:val="both"/>
              <w:rPr>
                <w:rFonts w:ascii="Calibri" w:hAnsi="Calibri"/>
                <w:sz w:val="20"/>
                <w:lang w:val="en-US"/>
              </w:rPr>
            </w:pPr>
            <w:r w:rsidRPr="009D5550">
              <w:rPr>
                <w:rFonts w:ascii="Calibri" w:hAnsi="Calibri"/>
                <w:sz w:val="20"/>
                <w:lang w:val="en-US"/>
              </w:rPr>
              <w:t>2016</w:t>
            </w:r>
          </w:p>
        </w:tc>
        <w:tc>
          <w:tcPr>
            <w:tcW w:w="810" w:type="dxa"/>
            <w:tcBorders>
              <w:top w:val="nil"/>
              <w:left w:val="nil"/>
              <w:bottom w:val="nil"/>
              <w:right w:val="nil"/>
            </w:tcBorders>
            <w:shd w:val="clear" w:color="auto" w:fill="auto"/>
            <w:noWrap/>
            <w:vAlign w:val="bottom"/>
            <w:hideMark/>
          </w:tcPr>
          <w:p w14:paraId="56E985E8" w14:textId="77777777" w:rsidR="00165BEC" w:rsidRPr="009D5550" w:rsidRDefault="00165BEC" w:rsidP="00165BEC">
            <w:pPr>
              <w:jc w:val="both"/>
              <w:rPr>
                <w:rFonts w:ascii="Calibri" w:hAnsi="Calibri"/>
                <w:sz w:val="20"/>
                <w:lang w:val="en-US"/>
              </w:rPr>
            </w:pPr>
            <w:r w:rsidRPr="009D5550">
              <w:rPr>
                <w:rFonts w:ascii="Calibri" w:hAnsi="Calibri"/>
                <w:sz w:val="20"/>
                <w:lang w:val="en-US"/>
              </w:rPr>
              <w:t>39.2</w:t>
            </w:r>
          </w:p>
        </w:tc>
        <w:tc>
          <w:tcPr>
            <w:tcW w:w="810" w:type="dxa"/>
            <w:tcBorders>
              <w:top w:val="nil"/>
              <w:left w:val="nil"/>
              <w:bottom w:val="nil"/>
              <w:right w:val="nil"/>
            </w:tcBorders>
            <w:shd w:val="clear" w:color="auto" w:fill="auto"/>
            <w:noWrap/>
            <w:vAlign w:val="bottom"/>
            <w:hideMark/>
          </w:tcPr>
          <w:p w14:paraId="57C304C6" w14:textId="77777777" w:rsidR="00165BEC" w:rsidRPr="009D5550" w:rsidRDefault="00165BEC" w:rsidP="00165BEC">
            <w:pPr>
              <w:jc w:val="both"/>
              <w:rPr>
                <w:rFonts w:ascii="Calibri" w:hAnsi="Calibri"/>
                <w:sz w:val="20"/>
                <w:lang w:val="en-US"/>
              </w:rPr>
            </w:pPr>
            <w:r w:rsidRPr="009D5550">
              <w:rPr>
                <w:rFonts w:ascii="Calibri" w:hAnsi="Calibri"/>
                <w:sz w:val="20"/>
                <w:lang w:val="en-US"/>
              </w:rPr>
              <w:t>120.9</w:t>
            </w:r>
          </w:p>
        </w:tc>
        <w:tc>
          <w:tcPr>
            <w:tcW w:w="1710" w:type="dxa"/>
            <w:tcBorders>
              <w:top w:val="nil"/>
              <w:left w:val="nil"/>
              <w:bottom w:val="nil"/>
              <w:right w:val="nil"/>
            </w:tcBorders>
            <w:shd w:val="clear" w:color="auto" w:fill="auto"/>
            <w:noWrap/>
            <w:vAlign w:val="bottom"/>
            <w:hideMark/>
          </w:tcPr>
          <w:p w14:paraId="6F9B048E" w14:textId="77777777" w:rsidR="00165BEC" w:rsidRPr="009D5550" w:rsidRDefault="00165BEC" w:rsidP="00165BEC">
            <w:pPr>
              <w:jc w:val="right"/>
              <w:rPr>
                <w:rFonts w:ascii="Calibri" w:hAnsi="Calibri"/>
                <w:sz w:val="20"/>
                <w:lang w:val="en-US"/>
              </w:rPr>
            </w:pPr>
            <w:r w:rsidRPr="009D5550">
              <w:rPr>
                <w:rFonts w:ascii="Calibri" w:hAnsi="Calibri"/>
                <w:sz w:val="20"/>
                <w:lang w:val="en-US"/>
              </w:rPr>
              <w:t>7.69</w:t>
            </w:r>
          </w:p>
        </w:tc>
        <w:tc>
          <w:tcPr>
            <w:tcW w:w="2070" w:type="dxa"/>
            <w:tcBorders>
              <w:top w:val="nil"/>
              <w:left w:val="nil"/>
              <w:bottom w:val="nil"/>
              <w:right w:val="nil"/>
            </w:tcBorders>
            <w:shd w:val="clear" w:color="auto" w:fill="auto"/>
            <w:noWrap/>
            <w:vAlign w:val="bottom"/>
            <w:hideMark/>
          </w:tcPr>
          <w:p w14:paraId="290AB99E" w14:textId="77777777" w:rsidR="00165BEC" w:rsidRPr="009D5550" w:rsidRDefault="00165BEC" w:rsidP="00165BEC">
            <w:pPr>
              <w:jc w:val="right"/>
              <w:rPr>
                <w:rFonts w:ascii="Calibri" w:hAnsi="Calibri"/>
                <w:sz w:val="20"/>
                <w:lang w:val="en-US"/>
              </w:rPr>
            </w:pPr>
            <w:r w:rsidRPr="009D5550">
              <w:rPr>
                <w:rFonts w:ascii="Calibri" w:hAnsi="Calibri"/>
                <w:sz w:val="20"/>
                <w:lang w:val="en-US"/>
              </w:rPr>
              <w:t>7.41</w:t>
            </w:r>
          </w:p>
        </w:tc>
        <w:tc>
          <w:tcPr>
            <w:tcW w:w="1367" w:type="dxa"/>
            <w:tcBorders>
              <w:top w:val="nil"/>
              <w:left w:val="nil"/>
              <w:bottom w:val="nil"/>
              <w:right w:val="nil"/>
            </w:tcBorders>
            <w:shd w:val="clear" w:color="auto" w:fill="auto"/>
            <w:noWrap/>
            <w:vAlign w:val="bottom"/>
            <w:hideMark/>
          </w:tcPr>
          <w:p w14:paraId="1B7FA9F5" w14:textId="77777777" w:rsidR="00165BEC" w:rsidRPr="009D5550" w:rsidRDefault="00165BEC" w:rsidP="00165BEC">
            <w:pPr>
              <w:jc w:val="right"/>
              <w:rPr>
                <w:rFonts w:ascii="Calibri" w:hAnsi="Calibri"/>
                <w:sz w:val="20"/>
                <w:lang w:val="en-US"/>
              </w:rPr>
            </w:pPr>
            <w:r w:rsidRPr="009D5550">
              <w:rPr>
                <w:rFonts w:ascii="Calibri" w:hAnsi="Calibri"/>
                <w:sz w:val="20"/>
                <w:lang w:val="en-US"/>
              </w:rPr>
              <w:t>40.7</w:t>
            </w:r>
          </w:p>
        </w:tc>
        <w:tc>
          <w:tcPr>
            <w:tcW w:w="1869" w:type="dxa"/>
            <w:tcBorders>
              <w:top w:val="nil"/>
              <w:left w:val="nil"/>
              <w:bottom w:val="nil"/>
              <w:right w:val="nil"/>
            </w:tcBorders>
            <w:shd w:val="clear" w:color="auto" w:fill="auto"/>
            <w:noWrap/>
            <w:vAlign w:val="bottom"/>
            <w:hideMark/>
          </w:tcPr>
          <w:p w14:paraId="0BA7E164" w14:textId="77777777" w:rsidR="00165BEC" w:rsidRPr="009D5550" w:rsidRDefault="00165BEC" w:rsidP="00165BEC">
            <w:pPr>
              <w:jc w:val="right"/>
              <w:rPr>
                <w:rFonts w:ascii="Calibri" w:hAnsi="Calibri"/>
                <w:sz w:val="20"/>
                <w:lang w:val="en-US"/>
              </w:rPr>
            </w:pPr>
            <w:r w:rsidRPr="009D5550">
              <w:rPr>
                <w:rFonts w:ascii="Calibri" w:hAnsi="Calibri"/>
                <w:sz w:val="20"/>
                <w:lang w:val="en-US"/>
              </w:rPr>
              <w:t>2.11</w:t>
            </w:r>
          </w:p>
        </w:tc>
        <w:tc>
          <w:tcPr>
            <w:tcW w:w="1440" w:type="dxa"/>
            <w:tcBorders>
              <w:top w:val="nil"/>
              <w:left w:val="nil"/>
              <w:bottom w:val="nil"/>
              <w:right w:val="nil"/>
            </w:tcBorders>
            <w:shd w:val="clear" w:color="auto" w:fill="auto"/>
            <w:noWrap/>
            <w:vAlign w:val="bottom"/>
            <w:hideMark/>
          </w:tcPr>
          <w:p w14:paraId="427E7472" w14:textId="77777777" w:rsidR="00165BEC" w:rsidRPr="009D5550" w:rsidRDefault="00165BEC" w:rsidP="00165BEC">
            <w:pPr>
              <w:jc w:val="right"/>
              <w:rPr>
                <w:rFonts w:ascii="Calibri" w:hAnsi="Calibri"/>
                <w:sz w:val="20"/>
                <w:lang w:val="en-US"/>
              </w:rPr>
            </w:pPr>
            <w:r w:rsidRPr="009D5550">
              <w:rPr>
                <w:rFonts w:ascii="Calibri" w:hAnsi="Calibri"/>
                <w:sz w:val="20"/>
                <w:lang w:val="en-US"/>
              </w:rPr>
              <w:t>5.58</w:t>
            </w:r>
          </w:p>
        </w:tc>
      </w:tr>
      <w:tr w:rsidR="00165BEC" w:rsidRPr="009D5550" w14:paraId="1E8AEBF5" w14:textId="77777777" w:rsidTr="00165BEC">
        <w:trPr>
          <w:trHeight w:val="300"/>
        </w:trPr>
        <w:tc>
          <w:tcPr>
            <w:tcW w:w="757" w:type="dxa"/>
            <w:tcBorders>
              <w:top w:val="nil"/>
              <w:left w:val="nil"/>
              <w:bottom w:val="nil"/>
              <w:right w:val="nil"/>
            </w:tcBorders>
            <w:shd w:val="clear" w:color="auto" w:fill="auto"/>
            <w:noWrap/>
            <w:vAlign w:val="bottom"/>
            <w:hideMark/>
          </w:tcPr>
          <w:p w14:paraId="052C4178" w14:textId="77777777" w:rsidR="00165BEC" w:rsidRPr="009D5550" w:rsidRDefault="00165BEC" w:rsidP="00165BEC">
            <w:pPr>
              <w:jc w:val="both"/>
              <w:rPr>
                <w:rFonts w:ascii="Calibri" w:hAnsi="Calibri"/>
                <w:sz w:val="20"/>
                <w:lang w:val="en-US"/>
              </w:rPr>
            </w:pPr>
            <w:r w:rsidRPr="009D5550">
              <w:rPr>
                <w:rFonts w:ascii="Calibri" w:hAnsi="Calibri"/>
                <w:sz w:val="20"/>
                <w:lang w:val="en-US"/>
              </w:rPr>
              <w:t>2017</w:t>
            </w:r>
          </w:p>
        </w:tc>
        <w:tc>
          <w:tcPr>
            <w:tcW w:w="810" w:type="dxa"/>
            <w:tcBorders>
              <w:top w:val="nil"/>
              <w:left w:val="nil"/>
              <w:bottom w:val="nil"/>
              <w:right w:val="nil"/>
            </w:tcBorders>
            <w:shd w:val="clear" w:color="auto" w:fill="auto"/>
            <w:noWrap/>
            <w:vAlign w:val="bottom"/>
            <w:hideMark/>
          </w:tcPr>
          <w:p w14:paraId="0DD8404F" w14:textId="77777777" w:rsidR="00165BEC" w:rsidRPr="009D5550" w:rsidRDefault="00165BEC" w:rsidP="00165BEC">
            <w:pPr>
              <w:jc w:val="both"/>
              <w:rPr>
                <w:rFonts w:ascii="Calibri" w:hAnsi="Calibri"/>
                <w:sz w:val="20"/>
                <w:lang w:val="en-US"/>
              </w:rPr>
            </w:pPr>
            <w:r w:rsidRPr="009D5550">
              <w:rPr>
                <w:rFonts w:ascii="Calibri" w:hAnsi="Calibri"/>
                <w:sz w:val="20"/>
                <w:lang w:val="en-US"/>
              </w:rPr>
              <w:t>44.6</w:t>
            </w:r>
          </w:p>
        </w:tc>
        <w:tc>
          <w:tcPr>
            <w:tcW w:w="810" w:type="dxa"/>
            <w:tcBorders>
              <w:top w:val="nil"/>
              <w:left w:val="nil"/>
              <w:bottom w:val="nil"/>
              <w:right w:val="nil"/>
            </w:tcBorders>
            <w:shd w:val="clear" w:color="auto" w:fill="auto"/>
            <w:noWrap/>
            <w:vAlign w:val="bottom"/>
            <w:hideMark/>
          </w:tcPr>
          <w:p w14:paraId="3C27D484" w14:textId="77777777" w:rsidR="00165BEC" w:rsidRPr="009D5550" w:rsidRDefault="00165BEC" w:rsidP="00165BEC">
            <w:pPr>
              <w:jc w:val="both"/>
              <w:rPr>
                <w:rFonts w:ascii="Calibri" w:hAnsi="Calibri"/>
                <w:sz w:val="20"/>
                <w:lang w:val="en-US"/>
              </w:rPr>
            </w:pPr>
            <w:r w:rsidRPr="009D5550">
              <w:rPr>
                <w:rFonts w:ascii="Calibri" w:hAnsi="Calibri"/>
                <w:sz w:val="20"/>
                <w:lang w:val="en-US"/>
              </w:rPr>
              <w:t>123.2</w:t>
            </w:r>
          </w:p>
        </w:tc>
        <w:tc>
          <w:tcPr>
            <w:tcW w:w="1710" w:type="dxa"/>
            <w:tcBorders>
              <w:top w:val="nil"/>
              <w:left w:val="nil"/>
              <w:bottom w:val="nil"/>
              <w:right w:val="nil"/>
            </w:tcBorders>
            <w:shd w:val="clear" w:color="auto" w:fill="auto"/>
            <w:noWrap/>
            <w:vAlign w:val="bottom"/>
            <w:hideMark/>
          </w:tcPr>
          <w:p w14:paraId="5F10A02C" w14:textId="77777777" w:rsidR="00165BEC" w:rsidRPr="009D5550" w:rsidRDefault="00165BEC" w:rsidP="00165BEC">
            <w:pPr>
              <w:jc w:val="right"/>
              <w:rPr>
                <w:rFonts w:ascii="Calibri" w:hAnsi="Calibri"/>
                <w:sz w:val="20"/>
                <w:lang w:val="en-US"/>
              </w:rPr>
            </w:pPr>
            <w:r w:rsidRPr="009D5550">
              <w:rPr>
                <w:rFonts w:ascii="Calibri" w:hAnsi="Calibri"/>
                <w:sz w:val="20"/>
                <w:lang w:val="en-US"/>
              </w:rPr>
              <w:t>13.78</w:t>
            </w:r>
          </w:p>
        </w:tc>
        <w:tc>
          <w:tcPr>
            <w:tcW w:w="2070" w:type="dxa"/>
            <w:tcBorders>
              <w:top w:val="nil"/>
              <w:left w:val="nil"/>
              <w:bottom w:val="nil"/>
              <w:right w:val="nil"/>
            </w:tcBorders>
            <w:shd w:val="clear" w:color="auto" w:fill="auto"/>
            <w:noWrap/>
            <w:vAlign w:val="bottom"/>
            <w:hideMark/>
          </w:tcPr>
          <w:p w14:paraId="1BDD981F" w14:textId="77777777" w:rsidR="00165BEC" w:rsidRPr="009D5550" w:rsidRDefault="00165BEC" w:rsidP="00165BEC">
            <w:pPr>
              <w:jc w:val="right"/>
              <w:rPr>
                <w:rFonts w:ascii="Calibri" w:hAnsi="Calibri"/>
                <w:sz w:val="20"/>
                <w:lang w:val="en-US"/>
              </w:rPr>
            </w:pPr>
            <w:r w:rsidRPr="009D5550">
              <w:rPr>
                <w:rFonts w:ascii="Calibri" w:hAnsi="Calibri"/>
                <w:sz w:val="20"/>
                <w:lang w:val="en-US"/>
              </w:rPr>
              <w:t>12.91</w:t>
            </w:r>
          </w:p>
        </w:tc>
        <w:tc>
          <w:tcPr>
            <w:tcW w:w="1367" w:type="dxa"/>
            <w:tcBorders>
              <w:top w:val="nil"/>
              <w:left w:val="nil"/>
              <w:bottom w:val="nil"/>
              <w:right w:val="nil"/>
            </w:tcBorders>
            <w:shd w:val="clear" w:color="auto" w:fill="auto"/>
            <w:noWrap/>
            <w:vAlign w:val="bottom"/>
            <w:hideMark/>
          </w:tcPr>
          <w:p w14:paraId="1F219277" w14:textId="77777777" w:rsidR="00165BEC" w:rsidRPr="009D5550" w:rsidRDefault="00165BEC" w:rsidP="00165BEC">
            <w:pPr>
              <w:jc w:val="right"/>
              <w:rPr>
                <w:rFonts w:ascii="Calibri" w:hAnsi="Calibri"/>
                <w:sz w:val="20"/>
                <w:lang w:val="en-US"/>
              </w:rPr>
            </w:pPr>
            <w:r w:rsidRPr="009D5550">
              <w:rPr>
                <w:rFonts w:ascii="Calibri" w:hAnsi="Calibri"/>
                <w:sz w:val="20"/>
                <w:lang w:val="en-US"/>
              </w:rPr>
              <w:t>45.4</w:t>
            </w:r>
          </w:p>
        </w:tc>
        <w:tc>
          <w:tcPr>
            <w:tcW w:w="1869" w:type="dxa"/>
            <w:tcBorders>
              <w:top w:val="nil"/>
              <w:left w:val="nil"/>
              <w:bottom w:val="nil"/>
              <w:right w:val="nil"/>
            </w:tcBorders>
            <w:shd w:val="clear" w:color="auto" w:fill="auto"/>
            <w:noWrap/>
            <w:vAlign w:val="bottom"/>
            <w:hideMark/>
          </w:tcPr>
          <w:p w14:paraId="65FC915B" w14:textId="77777777" w:rsidR="00165BEC" w:rsidRPr="009D5550" w:rsidRDefault="00165BEC" w:rsidP="00165BEC">
            <w:pPr>
              <w:jc w:val="right"/>
              <w:rPr>
                <w:rFonts w:ascii="Calibri" w:hAnsi="Calibri"/>
                <w:sz w:val="20"/>
                <w:lang w:val="en-US"/>
              </w:rPr>
            </w:pPr>
            <w:r w:rsidRPr="009D5550">
              <w:rPr>
                <w:rFonts w:ascii="Calibri" w:hAnsi="Calibri"/>
                <w:sz w:val="20"/>
                <w:lang w:val="en-US"/>
              </w:rPr>
              <w:t>1.90</w:t>
            </w:r>
          </w:p>
        </w:tc>
        <w:tc>
          <w:tcPr>
            <w:tcW w:w="1440" w:type="dxa"/>
            <w:tcBorders>
              <w:top w:val="nil"/>
              <w:left w:val="nil"/>
              <w:bottom w:val="nil"/>
              <w:right w:val="nil"/>
            </w:tcBorders>
            <w:shd w:val="clear" w:color="auto" w:fill="auto"/>
            <w:noWrap/>
            <w:vAlign w:val="bottom"/>
            <w:hideMark/>
          </w:tcPr>
          <w:p w14:paraId="25613DC1" w14:textId="77777777" w:rsidR="00165BEC" w:rsidRPr="009D5550" w:rsidRDefault="00165BEC" w:rsidP="00165BEC">
            <w:pPr>
              <w:jc w:val="right"/>
              <w:rPr>
                <w:rFonts w:ascii="Calibri" w:hAnsi="Calibri"/>
                <w:sz w:val="20"/>
                <w:lang w:val="en-US"/>
              </w:rPr>
            </w:pPr>
            <w:r w:rsidRPr="009D5550">
              <w:rPr>
                <w:rFonts w:ascii="Calibri" w:hAnsi="Calibri"/>
                <w:sz w:val="20"/>
                <w:lang w:val="en-US"/>
              </w:rPr>
              <w:t>11.87</w:t>
            </w:r>
          </w:p>
        </w:tc>
      </w:tr>
      <w:tr w:rsidR="00165BEC" w:rsidRPr="009D5550" w14:paraId="4AF9EECD" w14:textId="77777777" w:rsidTr="00165BEC">
        <w:trPr>
          <w:trHeight w:val="300"/>
        </w:trPr>
        <w:tc>
          <w:tcPr>
            <w:tcW w:w="757" w:type="dxa"/>
            <w:tcBorders>
              <w:top w:val="nil"/>
              <w:left w:val="nil"/>
              <w:bottom w:val="single" w:sz="4" w:space="0" w:color="auto"/>
              <w:right w:val="nil"/>
            </w:tcBorders>
            <w:shd w:val="clear" w:color="auto" w:fill="auto"/>
            <w:noWrap/>
            <w:vAlign w:val="bottom"/>
            <w:hideMark/>
          </w:tcPr>
          <w:p w14:paraId="528ADD7C" w14:textId="77777777" w:rsidR="00165BEC" w:rsidRPr="009D5550" w:rsidRDefault="00165BEC" w:rsidP="00165BEC">
            <w:pPr>
              <w:jc w:val="both"/>
              <w:rPr>
                <w:rFonts w:ascii="Calibri" w:hAnsi="Calibri"/>
                <w:sz w:val="20"/>
                <w:lang w:val="en-US"/>
              </w:rPr>
            </w:pPr>
            <w:r w:rsidRPr="009D5550">
              <w:rPr>
                <w:rFonts w:ascii="Calibri" w:hAnsi="Calibri"/>
                <w:sz w:val="20"/>
                <w:lang w:val="en-US"/>
              </w:rPr>
              <w:t>2018</w:t>
            </w:r>
          </w:p>
        </w:tc>
        <w:tc>
          <w:tcPr>
            <w:tcW w:w="810" w:type="dxa"/>
            <w:tcBorders>
              <w:top w:val="nil"/>
              <w:left w:val="nil"/>
              <w:bottom w:val="single" w:sz="4" w:space="0" w:color="auto"/>
              <w:right w:val="nil"/>
            </w:tcBorders>
            <w:shd w:val="clear" w:color="auto" w:fill="auto"/>
            <w:noWrap/>
            <w:vAlign w:val="bottom"/>
            <w:hideMark/>
          </w:tcPr>
          <w:p w14:paraId="345FC2D4" w14:textId="77777777" w:rsidR="00165BEC" w:rsidRPr="009D5550" w:rsidRDefault="00165BEC" w:rsidP="00165BEC">
            <w:pPr>
              <w:jc w:val="both"/>
              <w:rPr>
                <w:rFonts w:ascii="Calibri" w:hAnsi="Calibri"/>
                <w:sz w:val="20"/>
                <w:lang w:val="en-US"/>
              </w:rPr>
            </w:pPr>
            <w:r w:rsidRPr="009D5550">
              <w:rPr>
                <w:rFonts w:ascii="Calibri" w:hAnsi="Calibri"/>
                <w:sz w:val="20"/>
                <w:lang w:val="en-US"/>
              </w:rPr>
              <w:t>45.1</w:t>
            </w:r>
          </w:p>
        </w:tc>
        <w:tc>
          <w:tcPr>
            <w:tcW w:w="810" w:type="dxa"/>
            <w:tcBorders>
              <w:top w:val="nil"/>
              <w:left w:val="nil"/>
              <w:bottom w:val="single" w:sz="4" w:space="0" w:color="auto"/>
              <w:right w:val="nil"/>
            </w:tcBorders>
            <w:shd w:val="clear" w:color="auto" w:fill="auto"/>
            <w:noWrap/>
            <w:vAlign w:val="bottom"/>
            <w:hideMark/>
          </w:tcPr>
          <w:p w14:paraId="58C1FE41" w14:textId="77777777" w:rsidR="00165BEC" w:rsidRPr="009D5550" w:rsidRDefault="00165BEC" w:rsidP="00165BEC">
            <w:pPr>
              <w:jc w:val="both"/>
              <w:rPr>
                <w:rFonts w:ascii="Calibri" w:hAnsi="Calibri"/>
                <w:sz w:val="20"/>
                <w:lang w:val="en-US"/>
              </w:rPr>
            </w:pPr>
            <w:r w:rsidRPr="009D5550">
              <w:rPr>
                <w:rFonts w:ascii="Calibri" w:hAnsi="Calibri"/>
                <w:sz w:val="20"/>
                <w:lang w:val="en-US"/>
              </w:rPr>
              <w:t>125.4</w:t>
            </w:r>
          </w:p>
        </w:tc>
        <w:tc>
          <w:tcPr>
            <w:tcW w:w="1710" w:type="dxa"/>
            <w:tcBorders>
              <w:top w:val="nil"/>
              <w:left w:val="nil"/>
              <w:bottom w:val="single" w:sz="4" w:space="0" w:color="auto"/>
              <w:right w:val="nil"/>
            </w:tcBorders>
            <w:shd w:val="clear" w:color="auto" w:fill="auto"/>
            <w:noWrap/>
            <w:vAlign w:val="bottom"/>
            <w:hideMark/>
          </w:tcPr>
          <w:p w14:paraId="2543E925" w14:textId="77777777" w:rsidR="00165BEC" w:rsidRPr="009D5550" w:rsidRDefault="00165BEC" w:rsidP="00165BEC">
            <w:pPr>
              <w:jc w:val="right"/>
              <w:rPr>
                <w:rFonts w:ascii="Calibri" w:hAnsi="Calibri"/>
                <w:sz w:val="20"/>
                <w:lang w:val="en-US"/>
              </w:rPr>
            </w:pPr>
            <w:r w:rsidRPr="009D5550">
              <w:rPr>
                <w:rFonts w:ascii="Calibri" w:hAnsi="Calibri"/>
                <w:sz w:val="20"/>
                <w:lang w:val="en-US"/>
              </w:rPr>
              <w:t>1.12</w:t>
            </w:r>
          </w:p>
        </w:tc>
        <w:tc>
          <w:tcPr>
            <w:tcW w:w="2070" w:type="dxa"/>
            <w:tcBorders>
              <w:top w:val="nil"/>
              <w:left w:val="nil"/>
              <w:bottom w:val="single" w:sz="4" w:space="0" w:color="auto"/>
              <w:right w:val="nil"/>
            </w:tcBorders>
            <w:shd w:val="clear" w:color="auto" w:fill="auto"/>
            <w:noWrap/>
            <w:vAlign w:val="bottom"/>
            <w:hideMark/>
          </w:tcPr>
          <w:p w14:paraId="3953E8A3" w14:textId="77777777" w:rsidR="00165BEC" w:rsidRPr="009D5550" w:rsidRDefault="00165BEC" w:rsidP="00165BEC">
            <w:pPr>
              <w:jc w:val="right"/>
              <w:rPr>
                <w:rFonts w:ascii="Calibri" w:hAnsi="Calibri"/>
                <w:sz w:val="20"/>
                <w:lang w:val="en-US"/>
              </w:rPr>
            </w:pPr>
            <w:r w:rsidRPr="009D5550">
              <w:rPr>
                <w:rFonts w:ascii="Calibri" w:hAnsi="Calibri"/>
                <w:sz w:val="20"/>
                <w:lang w:val="en-US"/>
              </w:rPr>
              <w:t>1.11</w:t>
            </w:r>
          </w:p>
        </w:tc>
        <w:tc>
          <w:tcPr>
            <w:tcW w:w="1367" w:type="dxa"/>
            <w:tcBorders>
              <w:top w:val="nil"/>
              <w:left w:val="nil"/>
              <w:bottom w:val="single" w:sz="4" w:space="0" w:color="auto"/>
              <w:right w:val="nil"/>
            </w:tcBorders>
            <w:shd w:val="clear" w:color="auto" w:fill="auto"/>
            <w:noWrap/>
            <w:vAlign w:val="bottom"/>
            <w:hideMark/>
          </w:tcPr>
          <w:p w14:paraId="631097E5" w14:textId="77777777" w:rsidR="00165BEC" w:rsidRPr="009D5550" w:rsidRDefault="00165BEC" w:rsidP="00165BEC">
            <w:pPr>
              <w:jc w:val="right"/>
              <w:rPr>
                <w:rFonts w:ascii="Calibri" w:hAnsi="Calibri"/>
                <w:sz w:val="20"/>
                <w:lang w:val="en-US"/>
              </w:rPr>
            </w:pPr>
            <w:r w:rsidRPr="009D5550">
              <w:rPr>
                <w:rFonts w:ascii="Calibri" w:hAnsi="Calibri"/>
                <w:sz w:val="20"/>
                <w:lang w:val="en-US"/>
              </w:rPr>
              <w:t>45.1</w:t>
            </w:r>
          </w:p>
        </w:tc>
        <w:tc>
          <w:tcPr>
            <w:tcW w:w="1869" w:type="dxa"/>
            <w:tcBorders>
              <w:top w:val="nil"/>
              <w:left w:val="nil"/>
              <w:bottom w:val="single" w:sz="4" w:space="0" w:color="auto"/>
              <w:right w:val="nil"/>
            </w:tcBorders>
            <w:shd w:val="clear" w:color="auto" w:fill="auto"/>
            <w:noWrap/>
            <w:vAlign w:val="bottom"/>
            <w:hideMark/>
          </w:tcPr>
          <w:p w14:paraId="0EA00E80" w14:textId="77777777" w:rsidR="00165BEC" w:rsidRPr="009D5550" w:rsidRDefault="00165BEC" w:rsidP="00165BEC">
            <w:pPr>
              <w:jc w:val="right"/>
              <w:rPr>
                <w:rFonts w:ascii="Calibri" w:hAnsi="Calibri"/>
                <w:sz w:val="20"/>
                <w:lang w:val="en-US"/>
              </w:rPr>
            </w:pPr>
            <w:r w:rsidRPr="009D5550">
              <w:rPr>
                <w:rFonts w:ascii="Calibri" w:hAnsi="Calibri"/>
                <w:sz w:val="20"/>
                <w:lang w:val="en-US"/>
              </w:rPr>
              <w:t>1.79</w:t>
            </w:r>
          </w:p>
        </w:tc>
        <w:tc>
          <w:tcPr>
            <w:tcW w:w="1440" w:type="dxa"/>
            <w:tcBorders>
              <w:top w:val="nil"/>
              <w:left w:val="nil"/>
              <w:bottom w:val="single" w:sz="4" w:space="0" w:color="auto"/>
              <w:right w:val="nil"/>
            </w:tcBorders>
            <w:shd w:val="clear" w:color="auto" w:fill="auto"/>
            <w:noWrap/>
            <w:vAlign w:val="bottom"/>
            <w:hideMark/>
          </w:tcPr>
          <w:p w14:paraId="2D5903F7" w14:textId="77777777" w:rsidR="00165BEC" w:rsidRPr="009D5550" w:rsidRDefault="00165BEC" w:rsidP="00165BEC">
            <w:pPr>
              <w:jc w:val="right"/>
              <w:rPr>
                <w:rFonts w:ascii="Calibri" w:hAnsi="Calibri"/>
                <w:sz w:val="20"/>
                <w:lang w:val="en-US"/>
              </w:rPr>
            </w:pPr>
            <w:r w:rsidRPr="009D5550">
              <w:rPr>
                <w:rFonts w:ascii="Calibri" w:hAnsi="Calibri"/>
                <w:sz w:val="20"/>
                <w:lang w:val="en-US"/>
              </w:rPr>
              <w:t>-0.66</w:t>
            </w:r>
          </w:p>
        </w:tc>
      </w:tr>
    </w:tbl>
    <w:p w14:paraId="714B00AB" w14:textId="77777777" w:rsidR="00165BEC" w:rsidRPr="009D5550" w:rsidRDefault="00165BEC" w:rsidP="00165BEC">
      <w:pPr>
        <w:jc w:val="both"/>
        <w:rPr>
          <w:rFonts w:ascii="Calibri" w:hAnsi="Calibri"/>
          <w:sz w:val="20"/>
        </w:rPr>
      </w:pPr>
    </w:p>
    <w:p w14:paraId="656583EC" w14:textId="77777777" w:rsidR="00165BEC" w:rsidRPr="009D5550" w:rsidRDefault="00165BEC" w:rsidP="00165BEC">
      <w:pPr>
        <w:jc w:val="both"/>
      </w:pPr>
    </w:p>
    <w:p w14:paraId="0282F2D8" w14:textId="6322110E" w:rsidR="00165BEC" w:rsidRPr="009D5550" w:rsidRDefault="00165BEC" w:rsidP="00165BEC">
      <w:pPr>
        <w:jc w:val="both"/>
      </w:pPr>
      <w:r w:rsidRPr="009D5550">
        <w:t>A few notes</w:t>
      </w:r>
    </w:p>
    <w:p w14:paraId="74AAF07A" w14:textId="77777777" w:rsidR="00165BEC" w:rsidRPr="009D5550" w:rsidRDefault="00165BEC" w:rsidP="00165BEC">
      <w:pPr>
        <w:jc w:val="both"/>
      </w:pPr>
    </w:p>
    <w:p w14:paraId="5CD87860" w14:textId="735838E1" w:rsidR="00165BEC" w:rsidRPr="009D5550" w:rsidRDefault="00165BEC" w:rsidP="00165BEC">
      <w:pPr>
        <w:jc w:val="both"/>
      </w:pPr>
      <w:r w:rsidRPr="009D5550">
        <w:t xml:space="preserve">The simple returns are calculated as: </w:t>
      </w:r>
      <w:r w:rsidRPr="009D5550">
        <w:rPr>
          <w:i/>
        </w:rPr>
        <w:t>return</w:t>
      </w:r>
      <w:r w:rsidRPr="009D5550">
        <w:rPr>
          <w:i/>
          <w:vertAlign w:val="subscript"/>
        </w:rPr>
        <w:t>t</w:t>
      </w:r>
      <w:r w:rsidRPr="009D5550">
        <w:t xml:space="preserve"> = 100</w:t>
      </w:r>
      <w:r w:rsidRPr="009D5550">
        <w:sym w:font="Symbol" w:char="F0B4"/>
      </w:r>
      <w:r w:rsidRPr="009D5550">
        <w:t>((</w:t>
      </w:r>
      <w:r w:rsidRPr="009D5550">
        <w:rPr>
          <w:i/>
        </w:rPr>
        <w:t>P</w:t>
      </w:r>
      <w:r w:rsidRPr="009D5550">
        <w:rPr>
          <w:i/>
          <w:vertAlign w:val="subscript"/>
        </w:rPr>
        <w:t>t</w:t>
      </w:r>
      <w:r w:rsidR="00757AE1">
        <w:rPr>
          <w:i/>
        </w:rPr>
        <w:t>–</w:t>
      </w:r>
      <w:r w:rsidRPr="009D5550">
        <w:rPr>
          <w:i/>
        </w:rPr>
        <w:t>P</w:t>
      </w:r>
      <w:r w:rsidRPr="009D5550">
        <w:rPr>
          <w:i/>
          <w:vertAlign w:val="subscript"/>
        </w:rPr>
        <w:t>t</w:t>
      </w:r>
      <w:r w:rsidR="00757AE1">
        <w:rPr>
          <w:vertAlign w:val="subscript"/>
        </w:rPr>
        <w:t>–</w:t>
      </w:r>
      <w:r w:rsidRPr="009D5550">
        <w:rPr>
          <w:vertAlign w:val="subscript"/>
        </w:rPr>
        <w:t>1</w:t>
      </w:r>
      <w:r w:rsidRPr="009D5550">
        <w:t>)</w:t>
      </w:r>
      <w:r w:rsidR="00757AE1">
        <w:t>/</w:t>
      </w:r>
      <w:r w:rsidRPr="009D5550">
        <w:rPr>
          <w:i/>
        </w:rPr>
        <w:t>P</w:t>
      </w:r>
      <w:r w:rsidRPr="009D5550">
        <w:rPr>
          <w:i/>
          <w:vertAlign w:val="subscript"/>
        </w:rPr>
        <w:t>t</w:t>
      </w:r>
      <w:r w:rsidR="00757AE1">
        <w:rPr>
          <w:vertAlign w:val="subscript"/>
        </w:rPr>
        <w:t>–</w:t>
      </w:r>
      <w:r w:rsidRPr="009D5550">
        <w:rPr>
          <w:vertAlign w:val="subscript"/>
        </w:rPr>
        <w:t>1</w:t>
      </w:r>
      <w:r w:rsidRPr="009D5550">
        <w:t>)</w:t>
      </w:r>
    </w:p>
    <w:p w14:paraId="778ED59C" w14:textId="14F1CCF4" w:rsidR="00165BEC" w:rsidRPr="009D5550" w:rsidRDefault="00165BEC" w:rsidP="00165BEC">
      <w:pPr>
        <w:jc w:val="both"/>
      </w:pPr>
      <w:r w:rsidRPr="009D5550">
        <w:t xml:space="preserve">The continuously compounded returns are calculated as: </w:t>
      </w:r>
      <w:r w:rsidRPr="009D5550">
        <w:rPr>
          <w:i/>
        </w:rPr>
        <w:t>return</w:t>
      </w:r>
      <w:r w:rsidRPr="009D5550">
        <w:rPr>
          <w:i/>
          <w:vertAlign w:val="subscript"/>
        </w:rPr>
        <w:t>t</w:t>
      </w:r>
      <w:r w:rsidRPr="009D5550">
        <w:t xml:space="preserve"> = 100</w:t>
      </w:r>
      <w:r w:rsidRPr="009D5550">
        <w:sym w:font="Symbol" w:char="F0B4"/>
      </w:r>
      <w:r w:rsidRPr="009D5550">
        <w:t>log(</w:t>
      </w:r>
      <w:r w:rsidRPr="009D5550">
        <w:rPr>
          <w:i/>
        </w:rPr>
        <w:t>P</w:t>
      </w:r>
      <w:r w:rsidRPr="009D5550">
        <w:rPr>
          <w:i/>
          <w:vertAlign w:val="subscript"/>
        </w:rPr>
        <w:t>t</w:t>
      </w:r>
      <w:r w:rsidR="00757AE1">
        <w:t>/</w:t>
      </w:r>
      <w:r w:rsidRPr="009D5550">
        <w:rPr>
          <w:i/>
        </w:rPr>
        <w:t>P</w:t>
      </w:r>
      <w:r w:rsidRPr="009D5550">
        <w:rPr>
          <w:i/>
          <w:vertAlign w:val="subscript"/>
        </w:rPr>
        <w:t>t</w:t>
      </w:r>
      <w:r w:rsidR="00757AE1">
        <w:rPr>
          <w:vertAlign w:val="subscript"/>
        </w:rPr>
        <w:t>–</w:t>
      </w:r>
      <w:r w:rsidRPr="009D5550">
        <w:rPr>
          <w:vertAlign w:val="subscript"/>
        </w:rPr>
        <w:t>1</w:t>
      </w:r>
      <w:r w:rsidRPr="009D5550">
        <w:t>)</w:t>
      </w:r>
    </w:p>
    <w:p w14:paraId="3DA5C09A" w14:textId="7613EA1A" w:rsidR="00165BEC" w:rsidRPr="009D5550" w:rsidRDefault="00165BEC" w:rsidP="00165BEC">
      <w:pPr>
        <w:jc w:val="both"/>
      </w:pPr>
      <w:r w:rsidRPr="009D5550">
        <w:t xml:space="preserve">The bond prices in 2018 terms are calculated as: </w:t>
      </w:r>
      <w:r w:rsidRPr="009D5550">
        <w:rPr>
          <w:i/>
        </w:rPr>
        <w:t>price</w:t>
      </w:r>
      <w:r w:rsidRPr="009D5550">
        <w:rPr>
          <w:i/>
          <w:vertAlign w:val="subscript"/>
        </w:rPr>
        <w:t>t</w:t>
      </w:r>
      <w:r w:rsidRPr="009D5550">
        <w:t xml:space="preserve"> = </w:t>
      </w:r>
      <w:r w:rsidRPr="009D5550">
        <w:rPr>
          <w:i/>
        </w:rPr>
        <w:t>nominal price</w:t>
      </w:r>
      <w:r w:rsidRPr="009D5550">
        <w:rPr>
          <w:i/>
          <w:vertAlign w:val="subscript"/>
        </w:rPr>
        <w:t>t</w:t>
      </w:r>
      <w:r w:rsidRPr="009D5550">
        <w:sym w:font="Symbol" w:char="F0B4"/>
      </w:r>
      <w:r w:rsidRPr="009D5550">
        <w:rPr>
          <w:i/>
        </w:rPr>
        <w:t>CPI</w:t>
      </w:r>
      <w:r w:rsidRPr="009D5550">
        <w:rPr>
          <w:vertAlign w:val="subscript"/>
        </w:rPr>
        <w:t>2018</w:t>
      </w:r>
      <w:r w:rsidR="00757AE1">
        <w:t>/</w:t>
      </w:r>
      <w:r w:rsidRPr="009D5550">
        <w:rPr>
          <w:i/>
        </w:rPr>
        <w:t>CPI</w:t>
      </w:r>
      <w:r w:rsidRPr="009D5550">
        <w:rPr>
          <w:i/>
          <w:vertAlign w:val="subscript"/>
        </w:rPr>
        <w:t>t</w:t>
      </w:r>
    </w:p>
    <w:p w14:paraId="1ADAA266" w14:textId="6F783666" w:rsidR="00165BEC" w:rsidRPr="009D5550" w:rsidRDefault="00165BEC" w:rsidP="00165BEC">
      <w:pPr>
        <w:jc w:val="both"/>
      </w:pPr>
      <w:r w:rsidRPr="009D5550">
        <w:t xml:space="preserve">The inflation rate is calculated as </w:t>
      </w:r>
      <w:r w:rsidRPr="009D5550">
        <w:rPr>
          <w:i/>
        </w:rPr>
        <w:t>inflation rate</w:t>
      </w:r>
      <w:r w:rsidRPr="009D5550">
        <w:rPr>
          <w:i/>
          <w:vertAlign w:val="subscript"/>
        </w:rPr>
        <w:t>t</w:t>
      </w:r>
      <w:r w:rsidRPr="009D5550">
        <w:rPr>
          <w:i/>
        </w:rPr>
        <w:t xml:space="preserve"> </w:t>
      </w:r>
      <w:r w:rsidRPr="009D5550">
        <w:t>= 100</w:t>
      </w:r>
      <w:r w:rsidRPr="009D5550">
        <w:sym w:font="Symbol" w:char="F0B4"/>
      </w:r>
      <w:r w:rsidRPr="009D5550">
        <w:t>((</w:t>
      </w:r>
      <w:r w:rsidRPr="009D5550">
        <w:rPr>
          <w:i/>
        </w:rPr>
        <w:t>CPI</w:t>
      </w:r>
      <w:r w:rsidRPr="009D5550">
        <w:rPr>
          <w:i/>
          <w:vertAlign w:val="subscript"/>
        </w:rPr>
        <w:t>t</w:t>
      </w:r>
      <w:r w:rsidRPr="009D5550">
        <w:rPr>
          <w:i/>
        </w:rPr>
        <w:t xml:space="preserve"> – CPI</w:t>
      </w:r>
      <w:r w:rsidRPr="009D5550">
        <w:rPr>
          <w:i/>
          <w:vertAlign w:val="subscript"/>
        </w:rPr>
        <w:t>t</w:t>
      </w:r>
      <w:r w:rsidR="00757AE1">
        <w:rPr>
          <w:vertAlign w:val="subscript"/>
        </w:rPr>
        <w:t>–</w:t>
      </w:r>
      <w:r w:rsidRPr="009D5550">
        <w:rPr>
          <w:vertAlign w:val="subscript"/>
        </w:rPr>
        <w:t>1</w:t>
      </w:r>
      <w:r w:rsidRPr="009D5550">
        <w:t xml:space="preserve">)/ </w:t>
      </w:r>
      <w:r w:rsidRPr="009D5550">
        <w:rPr>
          <w:i/>
        </w:rPr>
        <w:t>CPI</w:t>
      </w:r>
      <w:r w:rsidRPr="009D5550">
        <w:rPr>
          <w:i/>
          <w:vertAlign w:val="subscript"/>
        </w:rPr>
        <w:t>t</w:t>
      </w:r>
      <w:r w:rsidR="00757AE1">
        <w:rPr>
          <w:vertAlign w:val="subscript"/>
        </w:rPr>
        <w:t>–</w:t>
      </w:r>
      <w:r w:rsidRPr="009D5550">
        <w:rPr>
          <w:vertAlign w:val="subscript"/>
        </w:rPr>
        <w:t>1</w:t>
      </w:r>
      <w:r w:rsidRPr="009D5550">
        <w:t xml:space="preserve">) </w:t>
      </w:r>
    </w:p>
    <w:p w14:paraId="5094DD59" w14:textId="77777777" w:rsidR="00165BEC" w:rsidRPr="009D5550" w:rsidRDefault="00165BEC" w:rsidP="00165BEC">
      <w:pPr>
        <w:jc w:val="both"/>
      </w:pPr>
      <w:r w:rsidRPr="009D5550">
        <w:t xml:space="preserve">The real returns are calculated as: </w:t>
      </w:r>
      <w:r w:rsidRPr="009D5550">
        <w:rPr>
          <w:i/>
        </w:rPr>
        <w:t>nominal</w:t>
      </w:r>
      <w:r w:rsidRPr="009D5550">
        <w:t xml:space="preserve"> (simple)</w:t>
      </w:r>
      <w:r w:rsidRPr="009D5550">
        <w:rPr>
          <w:i/>
        </w:rPr>
        <w:t xml:space="preserve"> returns</w:t>
      </w:r>
      <w:r w:rsidRPr="009D5550">
        <w:t xml:space="preserve"> (%) – </w:t>
      </w:r>
      <w:r w:rsidRPr="009D5550">
        <w:rPr>
          <w:i/>
        </w:rPr>
        <w:t xml:space="preserve">inflation rate </w:t>
      </w:r>
      <w:r w:rsidRPr="009D5550">
        <w:t>(%).</w:t>
      </w:r>
    </w:p>
    <w:p w14:paraId="79FC854E" w14:textId="77777777" w:rsidR="00134C9D" w:rsidRDefault="00134C9D">
      <w:pPr>
        <w:jc w:val="both"/>
      </w:pPr>
    </w:p>
    <w:p w14:paraId="679309B4" w14:textId="71CBC995" w:rsidR="004E3841" w:rsidRDefault="004E3841">
      <w:pPr>
        <w:jc w:val="both"/>
      </w:pPr>
      <w:r>
        <w:t xml:space="preserve">11. Questions </w:t>
      </w:r>
      <w:r w:rsidR="00757AE1">
        <w:t>11–</w:t>
      </w:r>
      <w:r>
        <w:t>14 are mostly straightforward applications of the rele</w:t>
      </w:r>
      <w:r w:rsidR="001D7DEC">
        <w:t xml:space="preserve">vant formulae from the chapter that are best tackled using a spreadsheet. </w:t>
      </w:r>
    </w:p>
    <w:p w14:paraId="0EE82EB6" w14:textId="77777777" w:rsidR="00206995" w:rsidRDefault="007B44EE">
      <w:pPr>
        <w:jc w:val="both"/>
      </w:pPr>
      <w:r>
        <w:rPr>
          <w:noProof/>
          <w:lang w:val="en-US"/>
        </w:rPr>
        <w:lastRenderedPageBreak/>
        <w:drawing>
          <wp:inline distT="0" distB="0" distL="0" distR="0" wp14:anchorId="093A57CA" wp14:editId="1E469044">
            <wp:extent cx="2238375" cy="19907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38375" cy="1990725"/>
                    </a:xfrm>
                    <a:prstGeom prst="rect">
                      <a:avLst/>
                    </a:prstGeom>
                    <a:noFill/>
                    <a:ln>
                      <a:noFill/>
                    </a:ln>
                  </pic:spPr>
                </pic:pic>
              </a:graphicData>
            </a:graphic>
          </wp:inline>
        </w:drawing>
      </w:r>
    </w:p>
    <w:p w14:paraId="7C54BA4E" w14:textId="77777777" w:rsidR="00D25836" w:rsidRDefault="00D25836">
      <w:pPr>
        <w:jc w:val="both"/>
      </w:pPr>
    </w:p>
    <w:p w14:paraId="597C3965" w14:textId="77777777" w:rsidR="00D25836" w:rsidRDefault="00D25836">
      <w:pPr>
        <w:jc w:val="both"/>
      </w:pPr>
      <w:r>
        <w:t xml:space="preserve">As the table shows, the effective rate increases as the compounding frequency increases, but at a decreasing rate so that compounding 500 times a year and continuously compounding produce effective interest rates that are identical to two decimal places. </w:t>
      </w:r>
    </w:p>
    <w:p w14:paraId="0DB2C9A9" w14:textId="77777777" w:rsidR="00D25836" w:rsidRDefault="00D25836">
      <w:pPr>
        <w:jc w:val="both"/>
      </w:pPr>
    </w:p>
    <w:p w14:paraId="1EEF1670" w14:textId="26EB3BF5" w:rsidR="00D25836" w:rsidRDefault="00D25836">
      <w:pPr>
        <w:jc w:val="both"/>
      </w:pPr>
      <w:r>
        <w:t xml:space="preserve">12. </w:t>
      </w:r>
      <w:r w:rsidR="003C6E46">
        <w:t xml:space="preserve">(a) </w:t>
      </w:r>
      <w:r>
        <w:t>The relevant formula to use for this question is</w:t>
      </w:r>
    </w:p>
    <w:p w14:paraId="553C8973" w14:textId="77777777" w:rsidR="00D25836" w:rsidRDefault="007B44EE">
      <w:pPr>
        <w:jc w:val="both"/>
      </w:pPr>
      <m:oMath>
        <m:r>
          <w:rPr>
            <w:rFonts w:ascii="Cambria Math" w:hAnsi="Cambria Math"/>
          </w:rPr>
          <m:t xml:space="preserve">T= </m:t>
        </m:r>
        <m:f>
          <m:fPr>
            <m:ctrlPr>
              <w:rPr>
                <w:rFonts w:ascii="Cambria Math" w:hAnsi="Cambria Math"/>
                <w:i/>
              </w:rPr>
            </m:ctrlPr>
          </m:fPr>
          <m:num>
            <m:r>
              <m:rPr>
                <m:sty m:val="p"/>
              </m:rPr>
              <w:rPr>
                <w:rFonts w:ascii="Cambria Math" w:hAnsi="Cambria Math"/>
              </w:rPr>
              <m:t>ln⁡</m:t>
            </m:r>
            <m:r>
              <w:rPr>
                <w:rFonts w:ascii="Cambria Math" w:hAnsi="Cambria Math"/>
              </w:rPr>
              <m:t>(Z)</m:t>
            </m:r>
          </m:num>
          <m:den>
            <m:r>
              <m:rPr>
                <m:sty m:val="p"/>
              </m:rPr>
              <w:rPr>
                <w:rFonts w:ascii="Cambria Math" w:hAnsi="Cambria Math"/>
              </w:rPr>
              <m:t>ln⁡</m:t>
            </m:r>
            <m:r>
              <w:rPr>
                <w:rFonts w:ascii="Cambria Math" w:hAnsi="Cambria Math"/>
              </w:rPr>
              <m:t>(1+r)</m:t>
            </m:r>
          </m:den>
        </m:f>
        <m:r>
          <w:rPr>
            <w:rFonts w:ascii="Cambria Math" w:hAnsi="Cambria Math"/>
          </w:rPr>
          <m:t>=</m:t>
        </m:r>
        <m:f>
          <m:fPr>
            <m:ctrlPr>
              <w:rPr>
                <w:rFonts w:ascii="Cambria Math" w:hAnsi="Cambria Math"/>
                <w:i/>
              </w:rPr>
            </m:ctrlPr>
          </m:fPr>
          <m:num>
            <m:r>
              <m:rPr>
                <m:sty m:val="p"/>
              </m:rPr>
              <w:rPr>
                <w:rFonts w:ascii="Cambria Math" w:hAnsi="Cambria Math"/>
              </w:rPr>
              <m:t>ln⁡</m:t>
            </m:r>
            <m:r>
              <w:rPr>
                <w:rFonts w:ascii="Cambria Math" w:hAnsi="Cambria Math"/>
              </w:rPr>
              <m:t>(2)</m:t>
            </m:r>
          </m:num>
          <m:den>
            <m:r>
              <m:rPr>
                <m:sty m:val="p"/>
              </m:rPr>
              <w:rPr>
                <w:rFonts w:ascii="Cambria Math" w:hAnsi="Cambria Math"/>
              </w:rPr>
              <m:t>ln⁡</m:t>
            </m:r>
            <m:r>
              <w:rPr>
                <w:rFonts w:ascii="Cambria Math" w:hAnsi="Cambria Math"/>
              </w:rPr>
              <m:t>(1+0.03)</m:t>
            </m:r>
          </m:den>
        </m:f>
        <m:r>
          <w:rPr>
            <w:rFonts w:ascii="Cambria Math" w:hAnsi="Cambria Math"/>
          </w:rPr>
          <m:t>=23.45</m:t>
        </m:r>
      </m:oMath>
      <w:r>
        <w:t xml:space="preserve"> years to two decimal places, where </w:t>
      </w:r>
      <w:r w:rsidRPr="007B44EE">
        <w:rPr>
          <w:i/>
        </w:rPr>
        <w:t>Z</w:t>
      </w:r>
      <w:r>
        <w:t xml:space="preserve"> is the factor that we want the sum of money to increase by (2 for doubling) and</w:t>
      </w:r>
      <w:r w:rsidRPr="007B44EE">
        <w:rPr>
          <w:i/>
        </w:rPr>
        <w:t xml:space="preserve"> r</w:t>
      </w:r>
      <w:r>
        <w:t xml:space="preserve"> is the interest rate expressed as a proportion, 0.05. </w:t>
      </w:r>
    </w:p>
    <w:p w14:paraId="2967F3DB" w14:textId="77777777" w:rsidR="003C6E46" w:rsidRDefault="003C6E46">
      <w:pPr>
        <w:jc w:val="both"/>
      </w:pPr>
    </w:p>
    <w:p w14:paraId="1402E7D6" w14:textId="0F6C9EF2" w:rsidR="003C6E46" w:rsidRDefault="003C6E46">
      <w:pPr>
        <w:jc w:val="both"/>
      </w:pPr>
      <w:r>
        <w:t xml:space="preserve">(b) All that changes from part (a) is </w:t>
      </w:r>
      <w:r w:rsidRPr="003C6E46">
        <w:rPr>
          <w:i/>
        </w:rPr>
        <w:t>r</w:t>
      </w:r>
      <w:r>
        <w:t xml:space="preserve">, which is now 0.05. This reduces the time to double the money to 14.21 years. </w:t>
      </w:r>
    </w:p>
    <w:p w14:paraId="48A57B01" w14:textId="77777777" w:rsidR="003C6E46" w:rsidRDefault="003C6E46">
      <w:pPr>
        <w:jc w:val="both"/>
      </w:pPr>
    </w:p>
    <w:p w14:paraId="551A6BA0" w14:textId="6A2EE15E" w:rsidR="003C6E46" w:rsidRDefault="003C6E46">
      <w:pPr>
        <w:jc w:val="both"/>
      </w:pPr>
      <w:r>
        <w:t xml:space="preserve">(c) Now </w:t>
      </w:r>
      <w:r w:rsidRPr="003C6E46">
        <w:rPr>
          <w:i/>
        </w:rPr>
        <w:t>Z</w:t>
      </w:r>
      <w:r>
        <w:t xml:space="preserve"> = 3 and </w:t>
      </w:r>
      <w:r w:rsidRPr="003C6E46">
        <w:rPr>
          <w:i/>
        </w:rPr>
        <w:t>r</w:t>
      </w:r>
      <w:r>
        <w:t xml:space="preserve"> = 0.05 in the same formula, which gives </w:t>
      </w:r>
      <w:r w:rsidRPr="003C6E46">
        <w:rPr>
          <w:i/>
        </w:rPr>
        <w:t>T</w:t>
      </w:r>
      <w:r>
        <w:t xml:space="preserve"> = 22.52 years. </w:t>
      </w:r>
    </w:p>
    <w:p w14:paraId="2388B0E3" w14:textId="77777777" w:rsidR="003C6E46" w:rsidRDefault="003C6E46">
      <w:pPr>
        <w:jc w:val="both"/>
      </w:pPr>
    </w:p>
    <w:p w14:paraId="4DF6B0DB" w14:textId="0DAFE950" w:rsidR="003C6E46" w:rsidRDefault="003C6E46">
      <w:pPr>
        <w:jc w:val="both"/>
      </w:pPr>
      <w:r>
        <w:t xml:space="preserve">(d) </w:t>
      </w:r>
      <w:r w:rsidR="00CB073C">
        <w:t>The easiest way to answer this question is to calculate the effective simple interest rate that would be equivalent to a continuously compounded rate of 5% per annum. This is calculated using</w:t>
      </w:r>
    </w:p>
    <w:p w14:paraId="4105919C" w14:textId="77777777" w:rsidR="00CB073C" w:rsidRDefault="00CB073C">
      <w:pPr>
        <w:jc w:val="both"/>
      </w:pPr>
    </w:p>
    <w:p w14:paraId="30965B29" w14:textId="21F7D253" w:rsidR="00CB073C" w:rsidRPr="00CB073C" w:rsidRDefault="00CB073C">
      <w:pPr>
        <w:jc w:val="both"/>
      </w:pPr>
      <m:oMathPara>
        <m:oMath>
          <m:r>
            <w:rPr>
              <w:rFonts w:ascii="Cambria Math" w:hAnsi="Cambria Math"/>
            </w:rPr>
            <m:t>r=</m:t>
          </m:r>
          <m:sSup>
            <m:sSupPr>
              <m:ctrlPr>
                <w:rPr>
                  <w:rFonts w:ascii="Cambria Math" w:hAnsi="Cambria Math"/>
                  <w:i/>
                </w:rPr>
              </m:ctrlPr>
            </m:sSupPr>
            <m:e>
              <m:r>
                <w:rPr>
                  <w:rFonts w:ascii="Cambria Math" w:hAnsi="Cambria Math"/>
                </w:rPr>
                <m:t>e</m:t>
              </m:r>
            </m:e>
            <m:sup>
              <m:r>
                <w:rPr>
                  <w:rFonts w:ascii="Cambria Math" w:hAnsi="Cambria Math"/>
                </w:rPr>
                <m:t>0.05</m:t>
              </m:r>
            </m:sup>
          </m:sSup>
          <m:r>
            <w:rPr>
              <w:rFonts w:ascii="Cambria Math" w:hAnsi="Cambria Math"/>
            </w:rPr>
            <m:t>-1=0.0513</m:t>
          </m:r>
        </m:oMath>
      </m:oMathPara>
    </w:p>
    <w:p w14:paraId="3B4C8502" w14:textId="70843B69" w:rsidR="00CB073C" w:rsidRDefault="00CB073C">
      <w:pPr>
        <w:jc w:val="both"/>
      </w:pPr>
      <w:r>
        <w:t xml:space="preserve">which gives a rate of 5.13%. We can then use the same formula as for part (a) but with </w:t>
      </w:r>
      <w:r w:rsidRPr="00CB073C">
        <w:rPr>
          <w:i/>
        </w:rPr>
        <w:t>Z</w:t>
      </w:r>
      <w:r>
        <w:t xml:space="preserve"> = 2 and </w:t>
      </w:r>
      <w:r w:rsidRPr="00CB073C">
        <w:rPr>
          <w:i/>
        </w:rPr>
        <w:t>r</w:t>
      </w:r>
      <w:r>
        <w:t xml:space="preserve"> = 0.0513, which gives 13.86 years to double the money. </w:t>
      </w:r>
    </w:p>
    <w:p w14:paraId="7CCF4DBA" w14:textId="77777777" w:rsidR="00627980" w:rsidRDefault="00627980">
      <w:pPr>
        <w:jc w:val="both"/>
      </w:pPr>
    </w:p>
    <w:p w14:paraId="37E5CD16" w14:textId="06DCCDE5" w:rsidR="00627980" w:rsidRDefault="00627980">
      <w:pPr>
        <w:jc w:val="both"/>
      </w:pPr>
      <w:r>
        <w:t>13. The easiest way to answer this question is, as for 12(d), to calculate</w:t>
      </w:r>
      <w:r w:rsidRPr="00627980">
        <w:t xml:space="preserve"> </w:t>
      </w:r>
      <w:r>
        <w:t>the effective simple interest rate that would be equivalent to a continuously compounded rate of 11% per annum. This is given by</w:t>
      </w:r>
    </w:p>
    <w:p w14:paraId="00D4A78A" w14:textId="405374DF" w:rsidR="00627980" w:rsidRPr="00CB073C" w:rsidRDefault="00627980" w:rsidP="00627980">
      <w:pPr>
        <w:jc w:val="both"/>
      </w:pPr>
      <m:oMathPara>
        <m:oMath>
          <m:r>
            <w:rPr>
              <w:rFonts w:ascii="Cambria Math" w:hAnsi="Cambria Math"/>
            </w:rPr>
            <m:t>r=</m:t>
          </m:r>
          <m:sSup>
            <m:sSupPr>
              <m:ctrlPr>
                <w:rPr>
                  <w:rFonts w:ascii="Cambria Math" w:hAnsi="Cambria Math"/>
                  <w:i/>
                </w:rPr>
              </m:ctrlPr>
            </m:sSupPr>
            <m:e>
              <m:r>
                <w:rPr>
                  <w:rFonts w:ascii="Cambria Math" w:hAnsi="Cambria Math"/>
                </w:rPr>
                <m:t>e</m:t>
              </m:r>
            </m:e>
            <m:sup>
              <m:r>
                <w:rPr>
                  <w:rFonts w:ascii="Cambria Math" w:hAnsi="Cambria Math"/>
                </w:rPr>
                <m:t>0.11</m:t>
              </m:r>
            </m:sup>
          </m:sSup>
          <m:r>
            <w:rPr>
              <w:rFonts w:ascii="Cambria Math" w:hAnsi="Cambria Math"/>
            </w:rPr>
            <m:t>-1=0.1157</m:t>
          </m:r>
        </m:oMath>
      </m:oMathPara>
    </w:p>
    <w:p w14:paraId="73B1A35A" w14:textId="3260E4E9" w:rsidR="00627980" w:rsidRDefault="00627980">
      <w:pPr>
        <w:jc w:val="both"/>
      </w:pPr>
      <w:r>
        <w:t xml:space="preserve">Thus the continuously compounded account pays an equivalent once-per-year rate of 11.57% and so still the 12% account, paid only annually, is still preferable. </w:t>
      </w:r>
    </w:p>
    <w:p w14:paraId="260F41ED" w14:textId="77777777" w:rsidR="00627980" w:rsidRDefault="00627980">
      <w:pPr>
        <w:jc w:val="both"/>
      </w:pPr>
    </w:p>
    <w:p w14:paraId="131BAEB4" w14:textId="320153F0" w:rsidR="00627980" w:rsidRDefault="00627980">
      <w:pPr>
        <w:jc w:val="both"/>
      </w:pPr>
      <w:r>
        <w:t xml:space="preserve">14.(a). This question is slightly tricky. One way to solve it is to use a rearrangement of the formula for the sum of </w:t>
      </w:r>
      <w:r w:rsidRPr="00627980">
        <w:rPr>
          <w:i/>
        </w:rPr>
        <w:t>n</w:t>
      </w:r>
      <w:r>
        <w:t xml:space="preserve"> terms of a geometric progression</w:t>
      </w:r>
      <w:r w:rsidR="00FE0AB7">
        <w:t xml:space="preserve">. Given that the compounding is only annually, it is easier to work with annual figures rather than monthly, and thus the amount </w:t>
      </w:r>
      <w:r w:rsidR="00312F3A">
        <w:t xml:space="preserve">saved is £200 </w:t>
      </w:r>
      <w:r w:rsidR="00312F3A">
        <w:sym w:font="Symbol" w:char="F0B4"/>
      </w:r>
      <w:r w:rsidR="00312F3A">
        <w:t xml:space="preserve"> 12 = £2400 per year. This is a serie</w:t>
      </w:r>
      <w:r w:rsidR="00D23AE4">
        <w:t xml:space="preserve">s that we want to sum, which starts with the value at the end of year one: £2400 </w:t>
      </w:r>
      <w:r w:rsidR="00D23AE4">
        <w:sym w:font="Symbol" w:char="F0B4"/>
      </w:r>
      <w:r w:rsidR="00D23AE4">
        <w:t xml:space="preserve"> (1 + 0.05) and each term will increase by a factor of (1 + 0.05), and thus</w:t>
      </w:r>
      <w:r w:rsidR="00B7435D">
        <w:t xml:space="preserve"> </w:t>
      </w:r>
      <w:r w:rsidR="00B7435D" w:rsidRPr="00B7435D">
        <w:rPr>
          <w:i/>
        </w:rPr>
        <w:t>a</w:t>
      </w:r>
      <w:r w:rsidR="00B7435D">
        <w:t xml:space="preserve"> = 2400(1+0.05), </w:t>
      </w:r>
      <w:r w:rsidR="00B7435D" w:rsidRPr="00B7435D">
        <w:rPr>
          <w:i/>
        </w:rPr>
        <w:t>d</w:t>
      </w:r>
      <w:r w:rsidR="00B7435D">
        <w:t xml:space="preserve"> = (1+0.05), </w:t>
      </w:r>
      <w:r w:rsidR="00B7435D" w:rsidRPr="00B7435D">
        <w:rPr>
          <w:i/>
        </w:rPr>
        <w:t>S</w:t>
      </w:r>
      <w:r w:rsidR="00B7435D" w:rsidRPr="00B7435D">
        <w:rPr>
          <w:i/>
          <w:vertAlign w:val="subscript"/>
        </w:rPr>
        <w:t>n</w:t>
      </w:r>
      <w:r w:rsidR="00B7435D">
        <w:t xml:space="preserve"> = £1000000</w:t>
      </w:r>
    </w:p>
    <w:p w14:paraId="2E34CC6D" w14:textId="77777777" w:rsidR="00B7435D" w:rsidRDefault="00B7435D">
      <w:pPr>
        <w:jc w:val="both"/>
      </w:pPr>
    </w:p>
    <w:p w14:paraId="3A933110" w14:textId="36FD6B17" w:rsidR="00B7435D" w:rsidRPr="00B7435D" w:rsidRDefault="000C63FE">
      <w:pPr>
        <w:jc w:val="both"/>
      </w:pPr>
      <m:oMathPara>
        <m:oMath>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a(1-</m:t>
              </m:r>
              <m:sSup>
                <m:sSupPr>
                  <m:ctrlPr>
                    <w:rPr>
                      <w:rFonts w:ascii="Cambria Math" w:hAnsi="Cambria Math"/>
                      <w:i/>
                    </w:rPr>
                  </m:ctrlPr>
                </m:sSupPr>
                <m:e>
                  <m:r>
                    <w:rPr>
                      <w:rFonts w:ascii="Cambria Math" w:hAnsi="Cambria Math"/>
                    </w:rPr>
                    <m:t>d</m:t>
                  </m:r>
                </m:e>
                <m:sup>
                  <m:r>
                    <w:rPr>
                      <w:rFonts w:ascii="Cambria Math" w:hAnsi="Cambria Math"/>
                    </w:rPr>
                    <m:t>n</m:t>
                  </m:r>
                </m:sup>
              </m:sSup>
              <m:r>
                <w:rPr>
                  <w:rFonts w:ascii="Cambria Math" w:hAnsi="Cambria Math"/>
                </w:rPr>
                <m:t>)</m:t>
              </m:r>
            </m:num>
            <m:den>
              <m:r>
                <w:rPr>
                  <w:rFonts w:ascii="Cambria Math" w:hAnsi="Cambria Math"/>
                </w:rPr>
                <m:t>1-d</m:t>
              </m:r>
            </m:den>
          </m:f>
        </m:oMath>
      </m:oMathPara>
    </w:p>
    <w:p w14:paraId="330222A7" w14:textId="155F3999" w:rsidR="00B7435D" w:rsidRDefault="00B7435D">
      <w:pPr>
        <w:jc w:val="both"/>
      </w:pPr>
      <w:r>
        <w:t>which can be rearranged as</w:t>
      </w:r>
    </w:p>
    <w:p w14:paraId="73F83D94" w14:textId="3E75A000" w:rsidR="00B7435D" w:rsidRPr="00B7435D" w:rsidRDefault="000C63FE">
      <w:pPr>
        <w:jc w:val="both"/>
      </w:pPr>
      <m:oMathPara>
        <m:oMath>
          <m:sSup>
            <m:sSupPr>
              <m:ctrlPr>
                <w:rPr>
                  <w:rFonts w:ascii="Cambria Math" w:hAnsi="Cambria Math"/>
                  <w:i/>
                </w:rPr>
              </m:ctrlPr>
            </m:sSupPr>
            <m:e>
              <m:r>
                <w:rPr>
                  <w:rFonts w:ascii="Cambria Math" w:hAnsi="Cambria Math"/>
                </w:rPr>
                <m:t>d</m:t>
              </m:r>
            </m:e>
            <m:sup>
              <m:r>
                <w:rPr>
                  <w:rFonts w:ascii="Cambria Math" w:hAnsi="Cambria Math"/>
                </w:rPr>
                <m:t>n</m:t>
              </m:r>
            </m:sup>
          </m:s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(d-1)</m:t>
              </m:r>
            </m:num>
            <m:den>
              <m:r>
                <w:rPr>
                  <w:rFonts w:ascii="Cambria Math" w:hAnsi="Cambria Math"/>
                </w:rPr>
                <m:t>a</m:t>
              </m:r>
            </m:den>
          </m:f>
          <m:r>
            <w:rPr>
              <w:rFonts w:ascii="Cambria Math" w:hAnsi="Cambria Math"/>
            </w:rPr>
            <m:t>+1</m:t>
          </m:r>
        </m:oMath>
      </m:oMathPara>
    </w:p>
    <w:p w14:paraId="4187F02C" w14:textId="35F915CA" w:rsidR="00B7435D" w:rsidRDefault="00B7435D">
      <w:pPr>
        <w:jc w:val="both"/>
      </w:pPr>
      <w:r>
        <w:t>and thus</w:t>
      </w:r>
    </w:p>
    <w:p w14:paraId="1715AF77" w14:textId="38353B02" w:rsidR="00B7435D" w:rsidRPr="00B7435D" w:rsidRDefault="00B7435D">
      <w:pPr>
        <w:jc w:val="both"/>
      </w:pPr>
      <m:oMathPara>
        <m:oMath>
          <m:r>
            <w:rPr>
              <w:rFonts w:ascii="Cambria Math" w:hAnsi="Cambria Math"/>
            </w:rPr>
            <m:t>n</m:t>
          </m:r>
          <m:r>
            <m:rPr>
              <m:sty m:val="p"/>
            </m:rPr>
            <w:rPr>
              <w:rFonts w:ascii="Cambria Math" w:hAnsi="Cambria Math"/>
            </w:rPr>
            <m:t>ln</m:t>
          </m:r>
          <m:d>
            <m:dPr>
              <m:ctrlPr>
                <w:rPr>
                  <w:rFonts w:ascii="Cambria Math" w:hAnsi="Cambria Math"/>
                  <w:i/>
                </w:rPr>
              </m:ctrlPr>
            </m:dPr>
            <m:e>
              <m:r>
                <w:rPr>
                  <w:rFonts w:ascii="Cambria Math" w:hAnsi="Cambria Math"/>
                </w:rPr>
                <m:t>d</m:t>
              </m:r>
            </m:e>
          </m:d>
          <m:r>
            <w:rPr>
              <w:rFonts w:ascii="Cambria Math" w:hAnsi="Cambria Math"/>
            </w:rPr>
            <m:t>=</m:t>
          </m:r>
          <m:r>
            <m:rPr>
              <m:sty m:val="p"/>
            </m:rPr>
            <w:rPr>
              <w:rFonts w:ascii="Cambria Math" w:hAnsi="Cambria Math"/>
            </w:rPr>
            <m:t>ln</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(d-1)</m:t>
                  </m:r>
                </m:num>
                <m:den>
                  <m:r>
                    <w:rPr>
                      <w:rFonts w:ascii="Cambria Math" w:hAnsi="Cambria Math"/>
                    </w:rPr>
                    <m:t>a</m:t>
                  </m:r>
                </m:den>
              </m:f>
              <m:r>
                <w:rPr>
                  <w:rFonts w:ascii="Cambria Math" w:hAnsi="Cambria Math"/>
                </w:rPr>
                <m:t>+1</m:t>
              </m:r>
            </m:e>
          </m:d>
        </m:oMath>
      </m:oMathPara>
    </w:p>
    <w:p w14:paraId="6D2596E9" w14:textId="74E57AC0" w:rsidR="00B7435D" w:rsidRDefault="00B7435D">
      <w:pPr>
        <w:jc w:val="both"/>
      </w:pPr>
      <w:r>
        <w:t>So</w:t>
      </w:r>
    </w:p>
    <w:p w14:paraId="561B6B05" w14:textId="564D0B39" w:rsidR="00B7435D" w:rsidRDefault="00B7435D">
      <w:pPr>
        <w:jc w:val="both"/>
      </w:pPr>
      <m:oMathPara>
        <m:oMath>
          <m:r>
            <w:rPr>
              <w:rFonts w:ascii="Cambria Math" w:hAnsi="Cambria Math"/>
            </w:rPr>
            <m:t>n=</m:t>
          </m:r>
          <m:f>
            <m:fPr>
              <m:ctrlPr>
                <w:rPr>
                  <w:rFonts w:ascii="Cambria Math" w:hAnsi="Cambria Math"/>
                </w:rPr>
              </m:ctrlPr>
            </m:fPr>
            <m:num>
              <m:r>
                <m:rPr>
                  <m:sty m:val="p"/>
                </m:rPr>
                <w:rPr>
                  <w:rFonts w:ascii="Cambria Math" w:hAnsi="Cambria Math"/>
                </w:rPr>
                <m:t>ln</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(d-1)</m:t>
                      </m:r>
                    </m:num>
                    <m:den>
                      <m:r>
                        <w:rPr>
                          <w:rFonts w:ascii="Cambria Math" w:hAnsi="Cambria Math"/>
                        </w:rPr>
                        <m:t>a</m:t>
                      </m:r>
                    </m:den>
                  </m:f>
                  <m:r>
                    <w:rPr>
                      <w:rFonts w:ascii="Cambria Math" w:hAnsi="Cambria Math"/>
                    </w:rPr>
                    <m:t>+1</m:t>
                  </m:r>
                </m:e>
              </m:d>
            </m:num>
            <m:den>
              <m:r>
                <m:rPr>
                  <m:sty m:val="p"/>
                </m:rPr>
                <w:rPr>
                  <w:rFonts w:ascii="Cambria Math" w:hAnsi="Cambria Math"/>
                </w:rPr>
                <m:t>ln</m:t>
              </m:r>
              <m:r>
                <w:rPr>
                  <w:rFonts w:ascii="Cambria Math" w:hAnsi="Cambria Math"/>
                </w:rPr>
                <m:t>(d)</m:t>
              </m:r>
            </m:den>
          </m:f>
        </m:oMath>
      </m:oMathPara>
    </w:p>
    <w:p w14:paraId="4A3A80E1" w14:textId="2809DC46" w:rsidR="00627980" w:rsidRDefault="00627980">
      <w:pPr>
        <w:jc w:val="both"/>
      </w:pPr>
      <w:r>
        <w:t xml:space="preserve"> </w:t>
      </w:r>
    </w:p>
    <w:p w14:paraId="79ABE8E3" w14:textId="7F45172D" w:rsidR="00B7435D" w:rsidRDefault="00B7435D">
      <w:pPr>
        <w:jc w:val="both"/>
      </w:pPr>
      <w:r>
        <w:t>Placing the numbers into the formula gives</w:t>
      </w:r>
    </w:p>
    <w:p w14:paraId="681330AD" w14:textId="64E84D89" w:rsidR="00B7435D" w:rsidRPr="00FE0AB7" w:rsidRDefault="00B7435D" w:rsidP="00B7435D">
      <w:pPr>
        <w:jc w:val="both"/>
      </w:pPr>
      <m:oMathPara>
        <m:oMath>
          <m:r>
            <w:rPr>
              <w:rFonts w:ascii="Cambria Math" w:hAnsi="Cambria Math"/>
            </w:rPr>
            <m:t>n=</m:t>
          </m:r>
          <m:f>
            <m:fPr>
              <m:ctrlPr>
                <w:rPr>
                  <w:rFonts w:ascii="Cambria Math" w:hAnsi="Cambria Math"/>
                </w:rPr>
              </m:ctrlPr>
            </m:fPr>
            <m:num>
              <m:r>
                <m:rPr>
                  <m:sty m:val="p"/>
                </m:rPr>
                <w:rPr>
                  <w:rFonts w:ascii="Cambria Math" w:hAnsi="Cambria Math"/>
                </w:rPr>
                <m:t>ln</m:t>
              </m:r>
              <m:d>
                <m:dPr>
                  <m:begChr m:val="["/>
                  <m:endChr m:val="]"/>
                  <m:ctrlPr>
                    <w:rPr>
                      <w:rFonts w:ascii="Cambria Math" w:hAnsi="Cambria Math"/>
                      <w:i/>
                    </w:rPr>
                  </m:ctrlPr>
                </m:dPr>
                <m:e>
                  <m:f>
                    <m:fPr>
                      <m:ctrlPr>
                        <w:rPr>
                          <w:rFonts w:ascii="Cambria Math" w:hAnsi="Cambria Math"/>
                          <w:i/>
                        </w:rPr>
                      </m:ctrlPr>
                    </m:fPr>
                    <m:num>
                      <m:r>
                        <w:rPr>
                          <w:rFonts w:ascii="Cambria Math" w:hAnsi="Cambria Math"/>
                        </w:rPr>
                        <m:t>1000000(1.05-1)</m:t>
                      </m:r>
                    </m:num>
                    <m:den>
                      <m:r>
                        <w:rPr>
                          <w:rFonts w:ascii="Cambria Math" w:hAnsi="Cambria Math"/>
                        </w:rPr>
                        <m:t>2400(1.05)</m:t>
                      </m:r>
                    </m:den>
                  </m:f>
                  <m:r>
                    <w:rPr>
                      <w:rFonts w:ascii="Cambria Math" w:hAnsi="Cambria Math"/>
                    </w:rPr>
                    <m:t>+1</m:t>
                  </m:r>
                </m:e>
              </m:d>
            </m:num>
            <m:den>
              <m:r>
                <m:rPr>
                  <m:sty m:val="p"/>
                </m:rPr>
                <w:rPr>
                  <w:rFonts w:ascii="Cambria Math" w:hAnsi="Cambria Math"/>
                </w:rPr>
                <m:t>ln</m:t>
              </m:r>
              <m:r>
                <w:rPr>
                  <w:rFonts w:ascii="Cambria Math" w:hAnsi="Cambria Math"/>
                </w:rPr>
                <m:t>(1.05)</m:t>
              </m:r>
            </m:den>
          </m:f>
          <m:r>
            <w:rPr>
              <w:rFonts w:ascii="Cambria Math" w:hAnsi="Cambria Math"/>
            </w:rPr>
            <m:t>=62.24</m:t>
          </m:r>
        </m:oMath>
      </m:oMathPara>
    </w:p>
    <w:p w14:paraId="6FCE7347" w14:textId="5F170A95" w:rsidR="00FE0AB7" w:rsidRDefault="00FE0AB7" w:rsidP="00B7435D">
      <w:pPr>
        <w:jc w:val="both"/>
      </w:pPr>
      <w:r>
        <w:t xml:space="preserve">So it would take </w:t>
      </w:r>
      <w:r w:rsidR="00D23AE4">
        <w:t xml:space="preserve">62.24 years to make the million pounds, probably out of your reach </w:t>
      </w:r>
      <w:r>
        <w:t>unless you started saving very early</w:t>
      </w:r>
      <w:r w:rsidR="00D23AE4">
        <w:t>!</w:t>
      </w:r>
    </w:p>
    <w:p w14:paraId="1F9CD7FF" w14:textId="77777777" w:rsidR="00D23AE4" w:rsidRDefault="00D23AE4" w:rsidP="00B7435D">
      <w:pPr>
        <w:jc w:val="both"/>
      </w:pPr>
    </w:p>
    <w:p w14:paraId="11FDD1C5" w14:textId="7194ED77" w:rsidR="00D23AE4" w:rsidRDefault="00D23AE4" w:rsidP="00B7435D">
      <w:pPr>
        <w:jc w:val="both"/>
      </w:pPr>
      <w:r>
        <w:t>(</w:t>
      </w:r>
      <w:r w:rsidR="00BE4EEB">
        <w:t>b</w:t>
      </w:r>
      <w:r>
        <w:t xml:space="preserve">) If you were able to save more: £500 per month (= £6000 per year), then the same approach would be used as for part (a) but </w:t>
      </w:r>
      <w:r w:rsidR="001C441C">
        <w:t xml:space="preserve">£2400 would be replaced by £6000. This reduces the time taken to get to a million pounds to 44.89 years – roughly the length of time most people save for their pensions. </w:t>
      </w:r>
    </w:p>
    <w:p w14:paraId="60E7024E" w14:textId="77777777" w:rsidR="001C441C" w:rsidRDefault="001C441C" w:rsidP="00B7435D">
      <w:pPr>
        <w:jc w:val="both"/>
      </w:pPr>
    </w:p>
    <w:p w14:paraId="394B4D63" w14:textId="7CE1698D" w:rsidR="001C441C" w:rsidRDefault="001C441C" w:rsidP="00B7435D">
      <w:pPr>
        <w:jc w:val="both"/>
      </w:pPr>
      <w:r>
        <w:t>(</w:t>
      </w:r>
      <w:r w:rsidR="00BE4EEB">
        <w:t>c</w:t>
      </w:r>
      <w:r>
        <w:t>) If we are interested in using the real interest rate (2%) rather than the nominal one (5%), then again everything would be as in part (b) but we would use 1.02 in place of 1.05. In this scenario, it would take 73.28 years to get to the million pounds.</w:t>
      </w:r>
    </w:p>
    <w:p w14:paraId="53124745" w14:textId="77777777" w:rsidR="00B7435D" w:rsidRPr="009D5550" w:rsidRDefault="00B7435D">
      <w:pPr>
        <w:jc w:val="both"/>
      </w:pPr>
    </w:p>
    <w:sectPr w:rsidR="00B7435D" w:rsidRPr="009D5550">
      <w:footerReference w:type="default" r:id="rId9"/>
      <w:pgSz w:w="11909" w:h="16834" w:code="9"/>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3D60ACE" w14:textId="77777777" w:rsidR="000C63FE" w:rsidRDefault="000C63FE">
      <w:r>
        <w:separator/>
      </w:r>
    </w:p>
  </w:endnote>
  <w:endnote w:type="continuationSeparator" w:id="0">
    <w:p w14:paraId="5929A997" w14:textId="77777777" w:rsidR="000C63FE" w:rsidRDefault="000C63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auto"/>
    <w:pitch w:val="variable"/>
    <w:sig w:usb0="800002E7" w:usb1="2AC7FCFF"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38151C" w14:textId="77777777" w:rsidR="002B6CB8" w:rsidRDefault="002B6CB8">
    <w:pPr>
      <w:pStyle w:val="Footer"/>
      <w:jc w:val="center"/>
    </w:pPr>
    <w:r>
      <w:rPr>
        <w:rStyle w:val="PageNumber"/>
      </w:rPr>
      <w:fldChar w:fldCharType="begin"/>
    </w:r>
    <w:r>
      <w:rPr>
        <w:rStyle w:val="PageNumber"/>
      </w:rPr>
      <w:instrText xml:space="preserve"> PAGE </w:instrText>
    </w:r>
    <w:r>
      <w:rPr>
        <w:rStyle w:val="PageNumber"/>
      </w:rPr>
      <w:fldChar w:fldCharType="separate"/>
    </w:r>
    <w:r w:rsidR="00760274">
      <w:rPr>
        <w:rStyle w:val="PageNumber"/>
        <w:noProof/>
      </w:rPr>
      <w:t>6</w:t>
    </w:r>
    <w:r>
      <w:rPr>
        <w:rStyle w:val="PageNumber"/>
      </w:rPr>
      <w:fldChar w:fldCharType="end"/>
    </w:r>
    <w:r>
      <w:rPr>
        <w:rStyle w:val="PageNumber"/>
      </w:rPr>
      <w:t>/</w:t>
    </w:r>
    <w:r>
      <w:rPr>
        <w:rStyle w:val="PageNumber"/>
      </w:rPr>
      <w:fldChar w:fldCharType="begin"/>
    </w:r>
    <w:r>
      <w:rPr>
        <w:rStyle w:val="PageNumber"/>
      </w:rPr>
      <w:instrText xml:space="preserve"> NUMPAGES </w:instrText>
    </w:r>
    <w:r>
      <w:rPr>
        <w:rStyle w:val="PageNumber"/>
      </w:rPr>
      <w:fldChar w:fldCharType="separate"/>
    </w:r>
    <w:r w:rsidR="00760274">
      <w:rPr>
        <w:rStyle w:val="PageNumber"/>
        <w:noProof/>
      </w:rPr>
      <w:t>6</w:t>
    </w:r>
    <w:r>
      <w:rPr>
        <w:rStyle w:val="PageNumber"/>
      </w:rPr>
      <w:fldChar w:fldCharType="end"/>
    </w:r>
    <w:r>
      <w:rPr>
        <w:rStyle w:val="PageNumber"/>
      </w:rPr>
      <w:t xml:space="preserve">              “Introductory Econometrics </w:t>
    </w:r>
    <w:r w:rsidR="00CD1C54">
      <w:rPr>
        <w:rStyle w:val="PageNumber"/>
      </w:rPr>
      <w:t>for Finance” © Chris Brook</w:t>
    </w:r>
    <w:r w:rsidR="004E3841">
      <w:rPr>
        <w:rStyle w:val="PageNumber"/>
      </w:rPr>
      <w:t>s 2018</w:t>
    </w:r>
    <w:r>
      <w:rPr>
        <w:rStyle w:val="PageNumber"/>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3A0B23C" w14:textId="77777777" w:rsidR="000C63FE" w:rsidRDefault="000C63FE">
      <w:r>
        <w:separator/>
      </w:r>
    </w:p>
  </w:footnote>
  <w:footnote w:type="continuationSeparator" w:id="0">
    <w:p w14:paraId="3C4BE81A" w14:textId="77777777" w:rsidR="000C63FE" w:rsidRDefault="000C63F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6B30A7"/>
    <w:multiLevelType w:val="hybridMultilevel"/>
    <w:tmpl w:val="C7C2F996"/>
    <w:lvl w:ilvl="0" w:tplc="F2CE4B08">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AF438EB"/>
    <w:multiLevelType w:val="hybridMultilevel"/>
    <w:tmpl w:val="AC8E691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441C2C18"/>
    <w:multiLevelType w:val="hybridMultilevel"/>
    <w:tmpl w:val="BBD422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84B63A4"/>
    <w:multiLevelType w:val="hybridMultilevel"/>
    <w:tmpl w:val="AD7CDE6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B6C6B13"/>
    <w:multiLevelType w:val="hybridMultilevel"/>
    <w:tmpl w:val="093EF8A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3"/>
  </w:num>
  <w:num w:numId="2">
    <w:abstractNumId w:val="4"/>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4A0F"/>
    <w:rsid w:val="000C63FE"/>
    <w:rsid w:val="00134A0F"/>
    <w:rsid w:val="00134C9D"/>
    <w:rsid w:val="00165BEC"/>
    <w:rsid w:val="001C441C"/>
    <w:rsid w:val="001D7DEC"/>
    <w:rsid w:val="00206995"/>
    <w:rsid w:val="00283899"/>
    <w:rsid w:val="002A5A79"/>
    <w:rsid w:val="002B6CB8"/>
    <w:rsid w:val="002E0353"/>
    <w:rsid w:val="00312F3A"/>
    <w:rsid w:val="00320B1C"/>
    <w:rsid w:val="003C6E46"/>
    <w:rsid w:val="004E3841"/>
    <w:rsid w:val="004E7226"/>
    <w:rsid w:val="005D16DA"/>
    <w:rsid w:val="00624579"/>
    <w:rsid w:val="00627980"/>
    <w:rsid w:val="00757AE1"/>
    <w:rsid w:val="00760274"/>
    <w:rsid w:val="00795276"/>
    <w:rsid w:val="007B44EE"/>
    <w:rsid w:val="008B21AF"/>
    <w:rsid w:val="0099347C"/>
    <w:rsid w:val="009B0AF4"/>
    <w:rsid w:val="009D5550"/>
    <w:rsid w:val="009D5829"/>
    <w:rsid w:val="00A01493"/>
    <w:rsid w:val="00A4203A"/>
    <w:rsid w:val="00A76F96"/>
    <w:rsid w:val="00AB61EF"/>
    <w:rsid w:val="00AF315D"/>
    <w:rsid w:val="00AF5E37"/>
    <w:rsid w:val="00B47316"/>
    <w:rsid w:val="00B57EEC"/>
    <w:rsid w:val="00B611CB"/>
    <w:rsid w:val="00B7435D"/>
    <w:rsid w:val="00BD75C7"/>
    <w:rsid w:val="00BE4EEB"/>
    <w:rsid w:val="00C21C9B"/>
    <w:rsid w:val="00C4102D"/>
    <w:rsid w:val="00CA7DDF"/>
    <w:rsid w:val="00CB073C"/>
    <w:rsid w:val="00CD1C54"/>
    <w:rsid w:val="00D23AE4"/>
    <w:rsid w:val="00D25836"/>
    <w:rsid w:val="00DA1352"/>
    <w:rsid w:val="00DA6B7E"/>
    <w:rsid w:val="00F96767"/>
    <w:rsid w:val="00FE0AB7"/>
    <w:rsid w:val="00FE11C1"/>
    <w:rsid w:val="00FF406A"/>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226D68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
    <w:name w:val="Body Text"/>
    <w:basedOn w:val="Normal"/>
    <w:pPr>
      <w:jc w:val="both"/>
    </w:pPr>
  </w:style>
  <w:style w:type="character" w:styleId="PlaceholderText">
    <w:name w:val="Placeholder Text"/>
    <w:basedOn w:val="DefaultParagraphFont"/>
    <w:uiPriority w:val="99"/>
    <w:semiHidden/>
    <w:rsid w:val="007B44EE"/>
    <w:rPr>
      <w:color w:val="808080"/>
    </w:rPr>
  </w:style>
  <w:style w:type="paragraph" w:styleId="BalloonText">
    <w:name w:val="Balloon Text"/>
    <w:basedOn w:val="Normal"/>
    <w:link w:val="BalloonTextChar"/>
    <w:rsid w:val="00757AE1"/>
    <w:rPr>
      <w:rFonts w:ascii="Lucida Grande" w:hAnsi="Lucida Grande" w:cs="Lucida Grande"/>
      <w:sz w:val="18"/>
      <w:szCs w:val="18"/>
    </w:rPr>
  </w:style>
  <w:style w:type="character" w:customStyle="1" w:styleId="BalloonTextChar">
    <w:name w:val="Balloon Text Char"/>
    <w:basedOn w:val="DefaultParagraphFont"/>
    <w:link w:val="BalloonText"/>
    <w:rsid w:val="00757AE1"/>
    <w:rPr>
      <w:rFonts w:ascii="Lucida Grande" w:hAnsi="Lucida Grande" w:cs="Lucida Grande"/>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tif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2209</Words>
  <Characters>12594</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ISMA CENTRE					UNIVERSITY OF READING</vt:lpstr>
    </vt:vector>
  </TitlesOfParts>
  <Company>Dell Computer Corporation</Company>
  <LinksUpToDate>false</LinksUpToDate>
  <CharactersWithSpaces>14774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ISMA CENTRE					UNIVERSITY OF READING</dc:title>
  <dc:subject/>
  <dc:creator>Authorised User</dc:creator>
  <cp:keywords/>
  <dc:description/>
  <cp:lastModifiedBy>HILLARY NYAWATE</cp:lastModifiedBy>
  <cp:revision>2</cp:revision>
  <cp:lastPrinted>2000-09-18T09:13:00Z</cp:lastPrinted>
  <dcterms:created xsi:type="dcterms:W3CDTF">2020-02-12T09:29:00Z</dcterms:created>
  <dcterms:modified xsi:type="dcterms:W3CDTF">2020-02-12T09:29:00Z</dcterms:modified>
</cp:coreProperties>
</file>