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009C9C"/>
          <w:sz w:val="16"/>
        </w:rPr>
        <w:t>SCRIPT FOR FACT CHECK</w:t>
      </w:r>
    </w:p>
    <w:p>
      <w:pPr>
        <w:spacing w:after="80"/>
      </w:pPr>
      <w:r>
        <w:rPr>
          <w:b w:val="0"/>
          <w:i w:val="0"/>
          <w:color w:val="343740"/>
          <w:sz w:val="52"/>
        </w:rPr>
        <w:t>From Fund to Token</w:t>
      </w:r>
    </w:p>
    <w:p>
      <w:pPr>
        <w:spacing w:after="200"/>
      </w:pPr>
      <w:r>
        <w:rPr>
          <w:b w:val="0"/>
          <w:i w:val="0"/>
          <w:color w:val="5E6270"/>
          <w:sz w:val="26"/>
        </w:rPr>
        <w:t>How a regulated fund is tokenised on Redbelly through Tokeniser</w:t>
      </w:r>
    </w:p>
    <w:tbl>
      <w:tblPr>
        <w:tblStyle w:val="TableGrid"/>
        <w:tblW w:type="auto" w:w="0"/>
        <w:jc w:val="left"/>
        <w:tblLook w:firstColumn="1" w:firstRow="1" w:lastColumn="0" w:lastRow="0" w:noHBand="0" w:noVBand="1" w:val="04A0"/>
      </w:tblPr>
      <w:tblGrid>
        <w:gridCol w:w="7512"/>
        <w:gridCol w:w="7512"/>
      </w:tblGrid>
      <w:tr>
        <w:tc>
          <w:tcPr>
            <w:tcW w:type="dxa" w:w="3969"/>
            <w:shd w:val="clear" w:color="auto" w:fill="F2F2F2"/>
          </w:tcPr>
          <w:p>
            <w:r/>
          </w:p>
          <w:p>
            <w:pPr>
              <w:spacing w:after="0"/>
            </w:pPr>
            <w:r>
              <w:rPr>
                <w:b/>
                <w:i w:val="0"/>
                <w:color w:val="5E6270"/>
                <w:sz w:val="16"/>
              </w:rPr>
              <w:t>ITEM</w:t>
            </w:r>
          </w:p>
        </w:tc>
        <w:tc>
          <w:tcPr>
            <w:tcW w:type="dxa" w:w="11055"/>
            <w:shd w:val="clear" w:color="auto" w:fill="F2F2F2"/>
          </w:tcPr>
          <w:p>
            <w:r/>
          </w:p>
          <w:p>
            <w:pPr>
              <w:spacing w:after="0"/>
            </w:pPr>
            <w:r>
              <w:rPr>
                <w:b/>
                <w:i w:val="0"/>
                <w:color w:val="5E6270"/>
                <w:sz w:val="16"/>
              </w:rPr>
              <w:t>DETAIL</w:t>
            </w:r>
          </w:p>
        </w:tc>
      </w:tr>
      <w:tr>
        <w:tc>
          <w:tcPr>
            <w:tcW w:type="dxa" w:w="3969"/>
          </w:tcPr>
          <w:p>
            <w:r/>
            <w:r>
              <w:rPr>
                <w:sz w:val="19"/>
              </w:rPr>
              <w:t>Example asset</w:t>
            </w:r>
          </w:p>
        </w:tc>
        <w:tc>
          <w:tcPr>
            <w:tcW w:type="dxa" w:w="11055"/>
          </w:tcPr>
          <w:p>
            <w:r/>
            <w:r>
              <w:rPr>
                <w:sz w:val="19"/>
              </w:rPr>
              <w:t>An Australian wholesale managed fund (unit trust). Illustrative example, not a real fund.</w:t>
            </w:r>
          </w:p>
        </w:tc>
      </w:tr>
      <w:tr>
        <w:tc>
          <w:tcPr>
            <w:tcW w:type="dxa" w:w="3969"/>
          </w:tcPr>
          <w:p>
            <w:r/>
            <w:r>
              <w:rPr>
                <w:sz w:val="19"/>
              </w:rPr>
              <w:t>Audience</w:t>
            </w:r>
          </w:p>
        </w:tc>
        <w:tc>
          <w:tcPr>
            <w:tcW w:type="dxa" w:w="11055"/>
          </w:tcPr>
          <w:p>
            <w:r/>
            <w:r>
              <w:rPr>
                <w:sz w:val="19"/>
              </w:rPr>
              <w:t>People with no crypto background</w:t>
            </w:r>
          </w:p>
        </w:tc>
      </w:tr>
      <w:tr>
        <w:tc>
          <w:tcPr>
            <w:tcW w:type="dxa" w:w="3969"/>
          </w:tcPr>
          <w:p>
            <w:r/>
            <w:r>
              <w:rPr>
                <w:sz w:val="19"/>
              </w:rPr>
              <w:t>Runtime</w:t>
            </w:r>
          </w:p>
        </w:tc>
        <w:tc>
          <w:tcPr>
            <w:tcW w:type="dxa" w:w="11055"/>
          </w:tcPr>
          <w:p>
            <w:r/>
            <w:r>
              <w:rPr>
                <w:sz w:val="19"/>
              </w:rPr>
              <w:t>88.2 seconds</w:t>
            </w:r>
          </w:p>
        </w:tc>
      </w:tr>
      <w:tr>
        <w:tc>
          <w:tcPr>
            <w:tcW w:type="dxa" w:w="3969"/>
          </w:tcPr>
          <w:p>
            <w:r/>
            <w:r>
              <w:rPr>
                <w:sz w:val="19"/>
              </w:rPr>
              <w:t>Video</w:t>
            </w:r>
          </w:p>
        </w:tc>
        <w:tc>
          <w:tcPr>
            <w:tcW w:type="dxa" w:w="11055"/>
          </w:tcPr>
          <w:p>
            <w:r/>
            <w:r>
              <w:rPr>
                <w:sz w:val="19"/>
              </w:rPr>
              <w:t>16:9, 1920 x 1080, 30 fps, H.264 MP4. Subtitles burned in, plus SRT and VTT files.</w:t>
            </w:r>
          </w:p>
        </w:tc>
      </w:tr>
      <w:tr>
        <w:tc>
          <w:tcPr>
            <w:tcW w:type="dxa" w:w="3969"/>
          </w:tcPr>
          <w:p>
            <w:r/>
            <w:r>
              <w:rPr>
                <w:sz w:val="19"/>
              </w:rPr>
              <w:t>Voiceover</w:t>
            </w:r>
          </w:p>
        </w:tc>
        <w:tc>
          <w:tcPr>
            <w:tcW w:type="dxa" w:w="11055"/>
          </w:tcPr>
          <w:p>
            <w:r/>
            <w:r>
              <w:rPr>
                <w:sz w:val="19"/>
              </w:rPr>
              <w:t>202 words, 19 lines</w:t>
            </w:r>
          </w:p>
        </w:tc>
      </w:tr>
      <w:tr>
        <w:tc>
          <w:tcPr>
            <w:tcW w:type="dxa" w:w="3969"/>
          </w:tcPr>
          <w:p>
            <w:r/>
            <w:r>
              <w:rPr>
                <w:sz w:val="19"/>
              </w:rPr>
              <w:t>Sources read</w:t>
            </w:r>
          </w:p>
        </w:tc>
        <w:tc>
          <w:tcPr>
            <w:tcW w:type="dxa" w:w="11055"/>
          </w:tcPr>
          <w:p>
            <w:r/>
            <w:r>
              <w:rPr>
                <w:sz w:val="19"/>
              </w:rPr>
              <w:t>26 October 2026, from the resources supplied with the brief</w:t>
            </w:r>
          </w:p>
        </w:tc>
      </w:tr>
      <w:tr>
        <w:tc>
          <w:tcPr>
            <w:tcW w:type="dxa" w:w="3969"/>
          </w:tcPr>
          <w:p>
            <w:r/>
            <w:r>
              <w:rPr>
                <w:sz w:val="19"/>
              </w:rPr>
              <w:t>Version</w:t>
            </w:r>
          </w:p>
        </w:tc>
        <w:tc>
          <w:tcPr>
            <w:tcW w:type="dxa" w:w="11055"/>
          </w:tcPr>
          <w:p>
            <w:r/>
            <w:r>
              <w:rPr>
                <w:sz w:val="19"/>
              </w:rPr>
              <w:t>1.0</w:t>
            </w:r>
          </w:p>
        </w:tc>
      </w:tr>
    </w:tbl>
    <w:p>
      <w:pPr>
        <w:spacing w:after="80" w:before="280"/>
      </w:pPr>
      <w:r>
        <w:rPr>
          <w:b w:val="0"/>
          <w:i w:val="0"/>
          <w:color w:val="343740"/>
          <w:sz w:val="30"/>
        </w:rPr>
        <w:t>Story</w:t>
      </w:r>
    </w:p>
    <w:p>
      <w:pPr>
        <w:spacing w:after="80"/>
      </w:pPr>
      <w:r>
        <w:rPr>
          <w:b w:val="0"/>
          <w:i w:val="0"/>
          <w:color w:val="343740"/>
          <w:sz w:val="20"/>
        </w:rPr>
        <w:t>One Australian wholesale fund, shown as an illustrative example, moves from a traditional unit register to compliant tokens on Redbelly Network, issued through Tokeniser. The film walks through the five steps Tokeniser documents in its own Knowledge Hub: legal review, setting the rules, verifying investors, issuing on Redbelly, and checked transfers. It closes on the idea that the fund, its strategy and its licence stay the same, while the infrastructure underneath changes.</w:t>
      </w:r>
    </w:p>
    <w:p>
      <w:pPr>
        <w:spacing w:after="80" w:before="280"/>
      </w:pPr>
      <w:r>
        <w:rPr>
          <w:b w:val="0"/>
          <w:i w:val="0"/>
          <w:color w:val="343740"/>
          <w:sz w:val="30"/>
        </w:rPr>
        <w:t>Script</w:t>
      </w:r>
    </w:p>
    <w:p>
      <w:pPr>
        <w:spacing w:after="80"/>
      </w:pPr>
      <w:r>
        <w:rPr>
          <w:b w:val="0"/>
          <w:i w:val="0"/>
          <w:color w:val="5E6270"/>
          <w:sz w:val="18"/>
        </w:rPr>
        <w:t>Timecodes are scene start and end in the final video. Every voiceover line also appears as a caption, word for word.</w:t>
      </w:r>
    </w:p>
    <w:tbl>
      <w:tblPr>
        <w:tblStyle w:val="TableGrid"/>
        <w:tblW w:type="auto" w:w="0"/>
        <w:jc w:val="left"/>
        <w:tblLook w:firstColumn="1" w:firstRow="1" w:lastColumn="0" w:lastRow="0" w:noHBand="0" w:noVBand="1" w:val="04A0"/>
      </w:tblPr>
      <w:tblGrid>
        <w:gridCol w:w="2504"/>
        <w:gridCol w:w="2504"/>
        <w:gridCol w:w="2504"/>
        <w:gridCol w:w="2504"/>
        <w:gridCol w:w="2504"/>
        <w:gridCol w:w="2504"/>
      </w:tblGrid>
      <w:tr>
        <w:tc>
          <w:tcPr>
            <w:tcW w:type="dxa" w:w="1587"/>
            <w:shd w:val="clear" w:color="auto" w:fill="F2F2F2"/>
          </w:tcPr>
          <w:p>
            <w:r/>
          </w:p>
          <w:p>
            <w:pPr>
              <w:spacing w:after="0"/>
            </w:pPr>
            <w:r>
              <w:rPr>
                <w:b/>
                <w:i w:val="0"/>
                <w:color w:val="5E6270"/>
                <w:sz w:val="16"/>
              </w:rPr>
              <w:t>SCENE</w:t>
            </w:r>
          </w:p>
        </w:tc>
        <w:tc>
          <w:tcPr>
            <w:tcW w:type="dxa" w:w="1361"/>
            <w:shd w:val="clear" w:color="auto" w:fill="F2F2F2"/>
          </w:tcPr>
          <w:p>
            <w:r/>
          </w:p>
          <w:p>
            <w:pPr>
              <w:spacing w:after="0"/>
            </w:pPr>
            <w:r>
              <w:rPr>
                <w:b/>
                <w:i w:val="0"/>
                <w:color w:val="5E6270"/>
                <w:sz w:val="16"/>
              </w:rPr>
              <w:t>TIME</w:t>
            </w:r>
          </w:p>
        </w:tc>
        <w:tc>
          <w:tcPr>
            <w:tcW w:type="dxa" w:w="4082"/>
            <w:shd w:val="clear" w:color="auto" w:fill="F2F2F2"/>
          </w:tcPr>
          <w:p>
            <w:r/>
          </w:p>
          <w:p>
            <w:pPr>
              <w:spacing w:after="0"/>
            </w:pPr>
            <w:r>
              <w:rPr>
                <w:b/>
                <w:i w:val="0"/>
                <w:color w:val="5E6270"/>
                <w:sz w:val="16"/>
              </w:rPr>
              <w:t>VOICEOVER</w:t>
            </w:r>
          </w:p>
        </w:tc>
        <w:tc>
          <w:tcPr>
            <w:tcW w:type="dxa" w:w="3061"/>
            <w:shd w:val="clear" w:color="auto" w:fill="F2F2F2"/>
          </w:tcPr>
          <w:p>
            <w:r/>
          </w:p>
          <w:p>
            <w:pPr>
              <w:spacing w:after="0"/>
            </w:pPr>
            <w:r>
              <w:rPr>
                <w:b/>
                <w:i w:val="0"/>
                <w:color w:val="5E6270"/>
                <w:sz w:val="16"/>
              </w:rPr>
              <w:t>ON SCREEN TEXT</w:t>
            </w:r>
          </w:p>
        </w:tc>
        <w:tc>
          <w:tcPr>
            <w:tcW w:type="dxa" w:w="3402"/>
            <w:shd w:val="clear" w:color="auto" w:fill="F2F2F2"/>
          </w:tcPr>
          <w:p>
            <w:r/>
          </w:p>
          <w:p>
            <w:pPr>
              <w:spacing w:after="0"/>
            </w:pPr>
            <w:r>
              <w:rPr>
                <w:b/>
                <w:i w:val="0"/>
                <w:color w:val="5E6270"/>
                <w:sz w:val="16"/>
              </w:rPr>
              <w:t>VISUAL</w:t>
            </w:r>
          </w:p>
        </w:tc>
        <w:tc>
          <w:tcPr>
            <w:tcW w:type="dxa" w:w="1531"/>
            <w:shd w:val="clear" w:color="auto" w:fill="F2F2F2"/>
          </w:tcPr>
          <w:p>
            <w:r/>
          </w:p>
          <w:p>
            <w:pPr>
              <w:spacing w:after="0"/>
            </w:pPr>
            <w:r>
              <w:rPr>
                <w:b/>
                <w:i w:val="0"/>
                <w:color w:val="5E6270"/>
                <w:sz w:val="16"/>
              </w:rPr>
              <w:t>SOURCES</w:t>
            </w:r>
          </w:p>
        </w:tc>
      </w:tr>
      <w:tr>
        <w:tc>
          <w:tcPr>
            <w:tcW w:type="dxa" w:w="1587"/>
          </w:tcPr>
          <w:p>
            <w:r/>
            <w:r>
              <w:rPr>
                <w:sz w:val="19"/>
              </w:rPr>
              <w:t>1. The fund</w:t>
            </w:r>
          </w:p>
        </w:tc>
        <w:tc>
          <w:tcPr>
            <w:tcW w:type="dxa" w:w="1361"/>
          </w:tcPr>
          <w:p>
            <w:r/>
            <w:r>
              <w:rPr>
                <w:sz w:val="19"/>
              </w:rPr>
              <w:t>0:00.0 to 0:07.3</w:t>
            </w:r>
          </w:p>
        </w:tc>
        <w:tc>
          <w:tcPr>
            <w:tcW w:type="dxa" w:w="4082"/>
          </w:tcPr>
          <w:p>
            <w:r/>
            <w:r>
              <w:rPr>
                <w:sz w:val="19"/>
              </w:rPr>
              <w:t>This is a wholesale fund in Australia. Its investors hold units on a register.</w:t>
            </w:r>
          </w:p>
          <w:p>
            <w:pPr>
              <w:spacing w:after="40"/>
            </w:pPr>
            <w:r>
              <w:rPr>
                <w:b w:val="0"/>
                <w:i w:val="0"/>
                <w:color w:val="343740"/>
                <w:sz w:val="19"/>
              </w:rPr>
              <w:t>How does it become a token on Redbelly?</w:t>
            </w:r>
          </w:p>
        </w:tc>
        <w:tc>
          <w:tcPr>
            <w:tcW w:type="dxa" w:w="3061"/>
          </w:tcPr>
          <w:p>
            <w:r/>
            <w:r>
              <w:rPr>
                <w:sz w:val="19"/>
              </w:rPr>
              <w:t>How does it become a token on Redbelly?; Wholesale fund; Australia; Unit trust; Investors hold units; Investor A; Investor B; Investor C; Investor D; Unit register; Investor; Units</w:t>
            </w:r>
          </w:p>
        </w:tc>
        <w:tc>
          <w:tcPr>
            <w:tcW w:type="dxa" w:w="3402"/>
          </w:tcPr>
          <w:p>
            <w:r/>
            <w:r>
              <w:rPr>
                <w:sz w:val="19"/>
              </w:rPr>
              <w:t>A fund card: Wholesale fund, Australia, Unit trust. Lines run to four investors, each holding grey unit blocks. A unit register lists each holding. The question appears above: How does it become a token on Redbelly?</w:t>
            </w:r>
          </w:p>
        </w:tc>
        <w:tc>
          <w:tcPr>
            <w:tcW w:type="dxa" w:w="1531"/>
          </w:tcPr>
          <w:p>
            <w:r/>
            <w:r>
              <w:rPr>
                <w:sz w:val="19"/>
              </w:rPr>
              <w:t>KH-FUND, TK-HOME</w:t>
            </w:r>
          </w:p>
        </w:tc>
      </w:tr>
      <w:tr>
        <w:tc>
          <w:tcPr>
            <w:tcW w:type="dxa" w:w="1587"/>
          </w:tcPr>
          <w:p>
            <w:r/>
            <w:r>
              <w:rPr>
                <w:sz w:val="19"/>
              </w:rPr>
              <w:t>2. Today</w:t>
            </w:r>
          </w:p>
        </w:tc>
        <w:tc>
          <w:tcPr>
            <w:tcW w:type="dxa" w:w="1361"/>
          </w:tcPr>
          <w:p>
            <w:r/>
            <w:r>
              <w:rPr>
                <w:sz w:val="19"/>
              </w:rPr>
              <w:t>0:07.3 to 0:12.9</w:t>
            </w:r>
          </w:p>
        </w:tc>
        <w:tc>
          <w:tcPr>
            <w:tcW w:type="dxa" w:w="4082"/>
          </w:tcPr>
          <w:p>
            <w:r/>
            <w:r>
              <w:rPr>
                <w:sz w:val="19"/>
              </w:rPr>
              <w:t>Today, registers sit across separate systems, checks are manual, and settlement takes days.</w:t>
            </w:r>
          </w:p>
        </w:tc>
        <w:tc>
          <w:tcPr>
            <w:tcW w:type="dxa" w:w="3061"/>
          </w:tcPr>
          <w:p>
            <w:r/>
            <w:r>
              <w:rPr>
                <w:sz w:val="19"/>
              </w:rPr>
              <w:t>Today; Registry; Spreadsheets; Emails; Manual checks; Settlement: two business days or longer</w:t>
            </w:r>
          </w:p>
        </w:tc>
        <w:tc>
          <w:tcPr>
            <w:tcW w:type="dxa" w:w="3402"/>
          </w:tcPr>
          <w:p>
            <w:r/>
            <w:r>
              <w:rPr>
                <w:sz w:val="19"/>
              </w:rPr>
              <w:t>Three separate cards, Registry, Spreadsheets and Emails, drift apart with broken links between them. A Manual checks card appears, then a settlement bar that fills slowly: Settlement: two business days or longer.</w:t>
            </w:r>
          </w:p>
        </w:tc>
        <w:tc>
          <w:tcPr>
            <w:tcW w:type="dxa" w:w="1531"/>
          </w:tcPr>
          <w:p>
            <w:r/>
            <w:r>
              <w:rPr>
                <w:sz w:val="19"/>
              </w:rPr>
              <w:t>TK-RTT, TK-AC, TK-IS</w:t>
            </w:r>
          </w:p>
        </w:tc>
      </w:tr>
      <w:tr>
        <w:tc>
          <w:tcPr>
            <w:tcW w:type="dxa" w:w="1587"/>
          </w:tcPr>
          <w:p>
            <w:r/>
            <w:r>
              <w:rPr>
                <w:sz w:val="19"/>
              </w:rPr>
              <w:t>3. Step 1: Legal review</w:t>
            </w:r>
          </w:p>
        </w:tc>
        <w:tc>
          <w:tcPr>
            <w:tcW w:type="dxa" w:w="1361"/>
          </w:tcPr>
          <w:p>
            <w:r/>
            <w:r>
              <w:rPr>
                <w:sz w:val="19"/>
              </w:rPr>
              <w:t>0:12.9 to 0:23.3</w:t>
            </w:r>
          </w:p>
        </w:tc>
        <w:tc>
          <w:tcPr>
            <w:tcW w:type="dxa" w:w="4082"/>
          </w:tcPr>
          <w:p>
            <w:r/>
            <w:r>
              <w:rPr>
                <w:sz w:val="19"/>
              </w:rPr>
              <w:t>Step one. A legal review confirms the trust deed allows ownership on chain.</w:t>
            </w:r>
          </w:p>
          <w:p>
            <w:pPr>
              <w:spacing w:after="40"/>
            </w:pPr>
            <w:r>
              <w:rPr>
                <w:b w:val="0"/>
                <w:i w:val="0"/>
                <w:color w:val="343740"/>
                <w:sz w:val="19"/>
              </w:rPr>
              <w:t>The manager's existing licence covers it. There is no separate tokenisation licence.</w:t>
            </w:r>
          </w:p>
        </w:tc>
        <w:tc>
          <w:tcPr>
            <w:tcW w:type="dxa" w:w="3061"/>
          </w:tcPr>
          <w:p>
            <w:r/>
            <w:r>
              <w:rPr>
                <w:sz w:val="19"/>
              </w:rPr>
              <w:t>Trust deed; On-chain ownership records permitted; Existing AFSL covers it; Covers issuance of tokenised fund interests; No separate tokenisation licence</w:t>
            </w:r>
          </w:p>
        </w:tc>
        <w:tc>
          <w:tcPr>
            <w:tcW w:type="dxa" w:w="3402"/>
          </w:tcPr>
          <w:p>
            <w:r/>
            <w:r>
              <w:rPr>
                <w:sz w:val="19"/>
              </w:rPr>
              <w:t>Step tracker, step 1 active. A trust deed is scanned and one clause turns mint: On-chain ownership records permitted. A licence card: Existing AFSL covers it. A card marked with a cross: No separate tokenisation licence.</w:t>
            </w:r>
          </w:p>
        </w:tc>
        <w:tc>
          <w:tcPr>
            <w:tcW w:type="dxa" w:w="1531"/>
          </w:tcPr>
          <w:p>
            <w:r/>
            <w:r>
              <w:rPr>
                <w:sz w:val="19"/>
              </w:rPr>
              <w:t>KH-FUND</w:t>
            </w:r>
          </w:p>
        </w:tc>
      </w:tr>
      <w:tr>
        <w:tc>
          <w:tcPr>
            <w:tcW w:type="dxa" w:w="1587"/>
          </w:tcPr>
          <w:p>
            <w:r/>
            <w:r>
              <w:rPr>
                <w:sz w:val="19"/>
              </w:rPr>
              <w:t>4. Step 2: Set the rules</w:t>
            </w:r>
          </w:p>
        </w:tc>
        <w:tc>
          <w:tcPr>
            <w:tcW w:type="dxa" w:w="1361"/>
          </w:tcPr>
          <w:p>
            <w:r/>
            <w:r>
              <w:rPr>
                <w:sz w:val="19"/>
              </w:rPr>
              <w:t>0:23.3 to 0:32.7</w:t>
            </w:r>
          </w:p>
        </w:tc>
        <w:tc>
          <w:tcPr>
            <w:tcW w:type="dxa" w:w="4082"/>
          </w:tcPr>
          <w:p>
            <w:r/>
            <w:r>
              <w:rPr>
                <w:sz w:val="19"/>
              </w:rPr>
              <w:t>Step two. On Tokeniser, the manager sets the rules: who can invest, foreign ownership limits, lock-up periods.</w:t>
            </w:r>
          </w:p>
          <w:p>
            <w:pPr>
              <w:spacing w:after="40"/>
            </w:pPr>
            <w:r>
              <w:rPr>
                <w:b w:val="0"/>
                <w:i w:val="0"/>
                <w:color w:val="343740"/>
                <w:sz w:val="19"/>
              </w:rPr>
              <w:t>They are written into the token itself.</w:t>
            </w:r>
          </w:p>
        </w:tc>
        <w:tc>
          <w:tcPr>
            <w:tcW w:type="dxa" w:w="3061"/>
          </w:tcPr>
          <w:p>
            <w:r/>
            <w:r>
              <w:rPr>
                <w:sz w:val="19"/>
              </w:rPr>
              <w:t>Tokeniser; Fund setup; Compliance rules; Investor eligibility; Wholesale; Foreign ownership limit; Lock-up period; Rules written into the token</w:t>
            </w:r>
          </w:p>
        </w:tc>
        <w:tc>
          <w:tcPr>
            <w:tcW w:type="dxa" w:w="3402"/>
          </w:tcPr>
          <w:p>
            <w:r/>
            <w:r>
              <w:rPr>
                <w:sz w:val="19"/>
              </w:rPr>
              <w:t>A Tokeniser style Fund setup panel. Three compliance rules switch on as they are named: Investor eligibility (Wholesale), Foreign ownership limit, Lock-up period. The rules fly into a token: Rules written into the token.</w:t>
            </w:r>
          </w:p>
        </w:tc>
        <w:tc>
          <w:tcPr>
            <w:tcW w:type="dxa" w:w="1531"/>
          </w:tcPr>
          <w:p>
            <w:r/>
            <w:r>
              <w:rPr>
                <w:sz w:val="19"/>
              </w:rPr>
              <w:t>KH-FUND, KH-COMP, KH-WORK</w:t>
            </w:r>
          </w:p>
        </w:tc>
      </w:tr>
      <w:tr>
        <w:tc>
          <w:tcPr>
            <w:tcW w:type="dxa" w:w="1587"/>
          </w:tcPr>
          <w:p>
            <w:r/>
            <w:r>
              <w:rPr>
                <w:sz w:val="19"/>
              </w:rPr>
              <w:t>5. Step 3: Verify investors</w:t>
            </w:r>
          </w:p>
        </w:tc>
        <w:tc>
          <w:tcPr>
            <w:tcW w:type="dxa" w:w="1361"/>
          </w:tcPr>
          <w:p>
            <w:r/>
            <w:r>
              <w:rPr>
                <w:sz w:val="19"/>
              </w:rPr>
              <w:t>0:32.7 to 0:42.7</w:t>
            </w:r>
          </w:p>
        </w:tc>
        <w:tc>
          <w:tcPr>
            <w:tcW w:type="dxa" w:w="4082"/>
          </w:tcPr>
          <w:p>
            <w:r/>
            <w:r>
              <w:rPr>
                <w:sz w:val="19"/>
              </w:rPr>
              <w:t>Step three. Each investor is verified: identity, anti-money laundering screening, investor classification.</w:t>
            </w:r>
          </w:p>
          <w:p>
            <w:pPr>
              <w:spacing w:after="40"/>
            </w:pPr>
            <w:r>
              <w:rPr>
                <w:b w:val="0"/>
                <w:i w:val="0"/>
                <w:color w:val="343740"/>
                <w:sz w:val="19"/>
              </w:rPr>
              <w:t>Until then, no tokens can reach their wallet.</w:t>
            </w:r>
          </w:p>
        </w:tc>
        <w:tc>
          <w:tcPr>
            <w:tcW w:type="dxa" w:w="3061"/>
          </w:tcPr>
          <w:p>
            <w:r/>
            <w:r>
              <w:rPr>
                <w:sz w:val="19"/>
              </w:rPr>
              <w:t>Investor; Digital onboarding; Identity; AML screening; Investor classification; Wholesale; Wallet; 0x7a3f…c21e; 0x91be…04d7; Not verified; Wallet verified; Blocked</w:t>
            </w:r>
          </w:p>
        </w:tc>
        <w:tc>
          <w:tcPr>
            <w:tcW w:type="dxa" w:w="3402"/>
          </w:tcPr>
          <w:p>
            <w:r/>
            <w:r>
              <w:rPr>
                <w:sz w:val="19"/>
              </w:rPr>
              <w:t>An investor card ticks Identity, AML screening and Investor classification (Wholesale) as they are named. Their wallet changes to Wallet verified and a token arrives. A second, unverified wallet appears: a token stops at its lock, marked Blocked.</w:t>
            </w:r>
          </w:p>
        </w:tc>
        <w:tc>
          <w:tcPr>
            <w:tcW w:type="dxa" w:w="1531"/>
          </w:tcPr>
          <w:p>
            <w:r/>
            <w:r>
              <w:rPr>
                <w:sz w:val="19"/>
              </w:rPr>
              <w:t>KH-COMP</w:t>
            </w:r>
          </w:p>
        </w:tc>
      </w:tr>
      <w:tr>
        <w:tc>
          <w:tcPr>
            <w:tcW w:type="dxa" w:w="1587"/>
          </w:tcPr>
          <w:p>
            <w:r/>
            <w:r>
              <w:rPr>
                <w:sz w:val="19"/>
              </w:rPr>
              <w:t>6. Step 4: Issue on Redbelly</w:t>
            </w:r>
          </w:p>
        </w:tc>
        <w:tc>
          <w:tcPr>
            <w:tcW w:type="dxa" w:w="1361"/>
          </w:tcPr>
          <w:p>
            <w:r/>
            <w:r>
              <w:rPr>
                <w:sz w:val="19"/>
              </w:rPr>
              <w:t>0:42.7 to 0:51.0</w:t>
            </w:r>
          </w:p>
        </w:tc>
        <w:tc>
          <w:tcPr>
            <w:tcW w:type="dxa" w:w="4082"/>
          </w:tcPr>
          <w:p>
            <w:r/>
            <w:r>
              <w:rPr>
                <w:sz w:val="19"/>
              </w:rPr>
              <w:t>Step four. Tokens for their units are issued on Redbelly Network, into verified wallets.</w:t>
            </w:r>
          </w:p>
          <w:p>
            <w:pPr>
              <w:spacing w:after="40"/>
            </w:pPr>
            <w:r>
              <w:rPr>
                <w:b w:val="0"/>
                <w:i w:val="0"/>
                <w:color w:val="343740"/>
                <w:sz w:val="19"/>
              </w:rPr>
              <w:t>The register is live from the first token.</w:t>
            </w:r>
          </w:p>
        </w:tc>
        <w:tc>
          <w:tcPr>
            <w:tcW w:type="dxa" w:w="3061"/>
          </w:tcPr>
          <w:p>
            <w:r/>
            <w:r>
              <w:rPr>
                <w:sz w:val="19"/>
              </w:rPr>
              <w:t>Tokeniser; Issue tokens; Redbelly Network; 0x7a3f…c21e; 0x3c58…9a10; 0x5d2e…b7f4; Verified; Unit register; Live; Wallet; Units</w:t>
            </w:r>
          </w:p>
        </w:tc>
        <w:tc>
          <w:tcPr>
            <w:tcW w:type="dxa" w:w="3402"/>
          </w:tcPr>
          <w:p>
            <w:r/>
            <w:r>
              <w:rPr>
                <w:sz w:val="19"/>
              </w:rPr>
              <w:t>The manager presses Issue tokens in Tokeniser. Three tokens pass through the Redbelly Network layer into three verified wallets. The unit register fills row by row and shows a Live status.</w:t>
            </w:r>
          </w:p>
        </w:tc>
        <w:tc>
          <w:tcPr>
            <w:tcW w:type="dxa" w:w="1531"/>
          </w:tcPr>
          <w:p>
            <w:r/>
            <w:r>
              <w:rPr>
                <w:sz w:val="19"/>
              </w:rPr>
              <w:t>KH-WORK</w:t>
            </w:r>
          </w:p>
        </w:tc>
      </w:tr>
      <w:tr>
        <w:tc>
          <w:tcPr>
            <w:tcW w:type="dxa" w:w="1587"/>
          </w:tcPr>
          <w:p>
            <w:r/>
            <w:r>
              <w:rPr>
                <w:sz w:val="19"/>
              </w:rPr>
              <w:t>7. Step 5: Transfers</w:t>
            </w:r>
          </w:p>
        </w:tc>
        <w:tc>
          <w:tcPr>
            <w:tcW w:type="dxa" w:w="1361"/>
          </w:tcPr>
          <w:p>
            <w:r/>
            <w:r>
              <w:rPr>
                <w:sz w:val="19"/>
              </w:rPr>
              <w:t>0:51.0 to 0:59.8</w:t>
            </w:r>
          </w:p>
        </w:tc>
        <w:tc>
          <w:tcPr>
            <w:tcW w:type="dxa" w:w="4082"/>
          </w:tcPr>
          <w:p>
            <w:r/>
            <w:r>
              <w:rPr>
                <w:sz w:val="19"/>
              </w:rPr>
              <w:t>Step five. Every transfer is checked against those rules first.</w:t>
            </w:r>
          </w:p>
          <w:p>
            <w:pPr>
              <w:spacing w:after="40"/>
            </w:pPr>
            <w:r>
              <w:rPr>
                <w:b w:val="0"/>
                <w:i w:val="0"/>
                <w:color w:val="343740"/>
                <w:sz w:val="19"/>
              </w:rPr>
              <w:t>Break a rule, and it is rejected.</w:t>
            </w:r>
          </w:p>
          <w:p>
            <w:pPr>
              <w:spacing w:after="40"/>
            </w:pPr>
            <w:r>
              <w:rPr>
                <w:b w:val="0"/>
                <w:i w:val="0"/>
                <w:color w:val="343740"/>
                <w:sz w:val="19"/>
              </w:rPr>
              <w:t>Pass, and it settles in seconds.</w:t>
            </w:r>
          </w:p>
        </w:tc>
        <w:tc>
          <w:tcPr>
            <w:tcW w:type="dxa" w:w="3061"/>
          </w:tcPr>
          <w:p>
            <w:r/>
            <w:r>
              <w:rPr>
                <w:sz w:val="19"/>
              </w:rPr>
              <w:t>Investor A; Investor B; Investor C; 0x7a3f…c21e; 0x91be…04d7; 0x3c58…9a10; Verified; Rule check; Eligibility; Ownership limit; Lock-up; Not eligible; Rejected: not eligible; Settled in seconds; Register updated</w:t>
            </w:r>
          </w:p>
        </w:tc>
        <w:tc>
          <w:tcPr>
            <w:tcW w:type="dxa" w:w="3402"/>
          </w:tcPr>
          <w:p>
            <w:r/>
            <w:r>
              <w:rPr>
                <w:sz w:val="19"/>
              </w:rPr>
              <w:t>Investor A sends a token to a Rule check gate that tests eligibility, ownership limit and lock-up. A transfer towards Investor B, who is not eligible, is rejected and the token returns. A transfer to Investor C passes, shows Settled in seconds, and Register updated.</w:t>
            </w:r>
          </w:p>
        </w:tc>
        <w:tc>
          <w:tcPr>
            <w:tcW w:type="dxa" w:w="1531"/>
          </w:tcPr>
          <w:p>
            <w:r/>
            <w:r>
              <w:rPr>
                <w:sz w:val="19"/>
              </w:rPr>
              <w:t>KH-WORK, TK-HOME, TK-AC, TK-IS</w:t>
            </w:r>
          </w:p>
        </w:tc>
      </w:tr>
      <w:tr>
        <w:tc>
          <w:tcPr>
            <w:tcW w:type="dxa" w:w="1587"/>
          </w:tcPr>
          <w:p>
            <w:r/>
            <w:r>
              <w:rPr>
                <w:sz w:val="19"/>
              </w:rPr>
              <w:t>8. The Redbelly layer</w:t>
            </w:r>
          </w:p>
        </w:tc>
        <w:tc>
          <w:tcPr>
            <w:tcW w:type="dxa" w:w="1361"/>
          </w:tcPr>
          <w:p>
            <w:r/>
            <w:r>
              <w:rPr>
                <w:sz w:val="19"/>
              </w:rPr>
              <w:t>0:59.8 to 1:17.9</w:t>
            </w:r>
          </w:p>
        </w:tc>
        <w:tc>
          <w:tcPr>
            <w:tcW w:type="dxa" w:w="4082"/>
          </w:tcPr>
          <w:p>
            <w:r/>
            <w:r>
              <w:rPr>
                <w:sz w:val="19"/>
              </w:rPr>
              <w:t>Underneath is Redbelly Network, Australia's public digital token infrastructure.</w:t>
            </w:r>
          </w:p>
          <w:p>
            <w:pPr>
              <w:spacing w:after="40"/>
            </w:pPr>
            <w:r>
              <w:rPr>
                <w:b w:val="0"/>
                <w:i w:val="0"/>
                <w:color w:val="343740"/>
                <w:sz w:val="19"/>
              </w:rPr>
              <w:t>Every participant's identity is verified at protocol level, and confirmed transactions cannot be reversed.</w:t>
            </w:r>
          </w:p>
          <w:p>
            <w:pPr>
              <w:spacing w:after="40"/>
            </w:pPr>
            <w:r>
              <w:rPr>
                <w:b w:val="0"/>
                <w:i w:val="0"/>
                <w:color w:val="343740"/>
                <w:sz w:val="19"/>
              </w:rPr>
              <w:t>Its consensus is formally verified. And Australia's central bank chose Redbelly for Project Acacia.</w:t>
            </w:r>
          </w:p>
        </w:tc>
        <w:tc>
          <w:tcPr>
            <w:tcW w:type="dxa" w:w="3061"/>
          </w:tcPr>
          <w:p>
            <w:r/>
            <w:r>
              <w:rPr>
                <w:sz w:val="19"/>
              </w:rPr>
              <w:t>Redbelly Network; Tokeniser; Issue; Settle; Public digital token infrastructure; Identity verified at protocol level; Confirmed transactions cannot be reversed; Formally verified consensus; Born from University of Sydney and CSIRO research; Chosen by Australia's central bank for Project Acacia</w:t>
            </w:r>
          </w:p>
        </w:tc>
        <w:tc>
          <w:tcPr>
            <w:tcW w:type="dxa" w:w="3402"/>
          </w:tcPr>
          <w:p>
            <w:r/>
            <w:r>
              <w:rPr>
                <w:sz w:val="19"/>
              </w:rPr>
              <w:t>The background turns Redbelly navy and the official Redbelly logo appears. A Tokeniser layer (Issue) sits on a Redbelly Network layer (Settle) drawn as a network of nodes. Six fact cards appear as each fact is spoken.</w:t>
            </w:r>
          </w:p>
        </w:tc>
        <w:tc>
          <w:tcPr>
            <w:tcW w:type="dxa" w:w="1531"/>
          </w:tcPr>
          <w:p>
            <w:r/>
            <w:r>
              <w:rPr>
                <w:sz w:val="19"/>
              </w:rPr>
              <w:t>TK-HOME, TK-TECH, TK-GS, RB-AT, TK-WHY</w:t>
            </w:r>
          </w:p>
        </w:tc>
      </w:tr>
      <w:tr>
        <w:tc>
          <w:tcPr>
            <w:tcW w:type="dxa" w:w="1587"/>
          </w:tcPr>
          <w:p>
            <w:r/>
            <w:r>
              <w:rPr>
                <w:sz w:val="19"/>
              </w:rPr>
              <w:t>9. Close</w:t>
            </w:r>
          </w:p>
        </w:tc>
        <w:tc>
          <w:tcPr>
            <w:tcW w:type="dxa" w:w="1361"/>
          </w:tcPr>
          <w:p>
            <w:r/>
            <w:r>
              <w:rPr>
                <w:sz w:val="19"/>
              </w:rPr>
              <w:t>1:17.9 to 1:28.2</w:t>
            </w:r>
          </w:p>
        </w:tc>
        <w:tc>
          <w:tcPr>
            <w:tcW w:type="dxa" w:w="4082"/>
          </w:tcPr>
          <w:p>
            <w:r/>
            <w:r>
              <w:rPr>
                <w:sz w:val="19"/>
              </w:rPr>
              <w:t>Same fund. Same strategy. Same licence.</w:t>
            </w:r>
          </w:p>
          <w:p>
            <w:pPr>
              <w:spacing w:after="40"/>
            </w:pPr>
            <w:r>
              <w:rPr>
                <w:b w:val="0"/>
                <w:i w:val="0"/>
                <w:color w:val="343740"/>
                <w:sz w:val="19"/>
              </w:rPr>
              <w:t>Now its units are compliant tokens on Redbelly, through Tokeniser.</w:t>
            </w:r>
          </w:p>
        </w:tc>
        <w:tc>
          <w:tcPr>
            <w:tcW w:type="dxa" w:w="3061"/>
          </w:tcPr>
          <w:p>
            <w:r/>
            <w:r>
              <w:rPr>
                <w:sz w:val="19"/>
              </w:rPr>
              <w:t>Same fund.; Same strategy.; Same licence.; Wholesale fund; Australia; Unit trust; Investor A; Investor B; Investor C; Investor D; Compliant tokens on Redbelly; Tokeniser; tokeniser.com; Built on; Redbelly Network; Illustrative example. General information only, and not financial or legal advice.</w:t>
            </w:r>
          </w:p>
        </w:tc>
        <w:tc>
          <w:tcPr>
            <w:tcW w:type="dxa" w:w="3402"/>
          </w:tcPr>
          <w:p>
            <w:r/>
            <w:r>
              <w:rPr>
                <w:sz w:val="19"/>
              </w:rPr>
              <w:t>Same fund. Same strategy. Same licence. appear word by word. The fund card returns and each investor's grey unit blocks turn into mint tokens: Compliant tokens on Redbelly. End card: Tokeniser, tokeniser.com, Built on Redbelly Network with the official logo, and a general information line.</w:t>
            </w:r>
          </w:p>
        </w:tc>
        <w:tc>
          <w:tcPr>
            <w:tcW w:type="dxa" w:w="1531"/>
          </w:tcPr>
          <w:p>
            <w:r/>
            <w:r>
              <w:rPr>
                <w:sz w:val="19"/>
              </w:rPr>
              <w:t>TK-FUNDS, KH-FUND, TK-HOME, KH-WORK</w:t>
            </w:r>
          </w:p>
        </w:tc>
      </w:tr>
    </w:tbl>
    <w:p>
      <w:pPr>
        <w:spacing w:after="80"/>
      </w:pPr>
      <w:r>
        <w:rPr>
          <w:b w:val="0"/>
          <w:i w:val="0"/>
          <w:color w:val="5E6270"/>
          <w:sz w:val="18"/>
        </w:rPr>
        <w:t>Also on screen: A tag in the top left corner marks the example as illustrative. A five step tracker runs across the top during steps one to five. Text: Illustrative example, Legal review, Set the rules, Verify investors, Issue on Redbelly, Transfers.</w:t>
      </w:r>
    </w:p>
    <w:p>
      <w:pPr>
        <w:spacing w:after="80" w:before="280"/>
      </w:pPr>
      <w:r>
        <w:rPr>
          <w:b w:val="0"/>
          <w:i w:val="0"/>
          <w:color w:val="343740"/>
          <w:sz w:val="30"/>
        </w:rPr>
        <w:t>Fact check: voiceover</w:t>
      </w:r>
    </w:p>
    <w:p>
      <w:pPr>
        <w:spacing w:after="80"/>
      </w:pPr>
      <w:r>
        <w:rPr>
          <w:b w:val="0"/>
          <w:i w:val="0"/>
          <w:color w:val="5E6270"/>
          <w:sz w:val="18"/>
        </w:rPr>
        <w:t>Each line, with the exact wording on the supplied page that supports it.</w:t>
      </w:r>
    </w:p>
    <w:tbl>
      <w:tblPr>
        <w:tblStyle w:val="TableGrid"/>
        <w:tblW w:type="auto" w:w="0"/>
        <w:jc w:val="left"/>
        <w:tblLook w:firstColumn="1" w:firstRow="1" w:lastColumn="0" w:lastRow="0" w:noHBand="0" w:noVBand="1" w:val="04A0"/>
      </w:tblPr>
      <w:tblGrid>
        <w:gridCol w:w="3005"/>
        <w:gridCol w:w="3005"/>
        <w:gridCol w:w="3005"/>
        <w:gridCol w:w="3005"/>
        <w:gridCol w:w="3005"/>
      </w:tblGrid>
      <w:tr>
        <w:tc>
          <w:tcPr>
            <w:tcW w:type="dxa" w:w="850"/>
            <w:shd w:val="clear" w:color="auto" w:fill="F2F2F2"/>
          </w:tcPr>
          <w:p>
            <w:r/>
          </w:p>
          <w:p>
            <w:pPr>
              <w:spacing w:after="0"/>
            </w:pPr>
            <w:r>
              <w:rPr>
                <w:b/>
                <w:i w:val="0"/>
                <w:color w:val="5E6270"/>
                <w:sz w:val="16"/>
              </w:rPr>
              <w:t>LINE</w:t>
            </w:r>
          </w:p>
        </w:tc>
        <w:tc>
          <w:tcPr>
            <w:tcW w:type="dxa" w:w="907"/>
            <w:shd w:val="clear" w:color="auto" w:fill="F2F2F2"/>
          </w:tcPr>
          <w:p>
            <w:r/>
          </w:p>
          <w:p>
            <w:pPr>
              <w:spacing w:after="0"/>
            </w:pPr>
            <w:r>
              <w:rPr>
                <w:b/>
                <w:i w:val="0"/>
                <w:color w:val="5E6270"/>
                <w:sz w:val="16"/>
              </w:rPr>
              <w:t>TIME</w:t>
            </w:r>
          </w:p>
        </w:tc>
        <w:tc>
          <w:tcPr>
            <w:tcW w:type="dxa" w:w="3969"/>
            <w:shd w:val="clear" w:color="auto" w:fill="F2F2F2"/>
          </w:tcPr>
          <w:p>
            <w:r/>
          </w:p>
          <w:p>
            <w:pPr>
              <w:spacing w:after="0"/>
            </w:pPr>
            <w:r>
              <w:rPr>
                <w:b/>
                <w:i w:val="0"/>
                <w:color w:val="5E6270"/>
                <w:sz w:val="16"/>
              </w:rPr>
              <w:t>LINE AS SPOKEN</w:t>
            </w:r>
          </w:p>
        </w:tc>
        <w:tc>
          <w:tcPr>
            <w:tcW w:type="dxa" w:w="6803"/>
            <w:shd w:val="clear" w:color="auto" w:fill="F2F2F2"/>
          </w:tcPr>
          <w:p>
            <w:r/>
          </w:p>
          <w:p>
            <w:pPr>
              <w:spacing w:after="0"/>
            </w:pPr>
            <w:r>
              <w:rPr>
                <w:b/>
                <w:i w:val="0"/>
                <w:color w:val="5E6270"/>
                <w:sz w:val="16"/>
              </w:rPr>
              <w:t>SUPPORTING TEXT, VERBATIM</w:t>
            </w:r>
          </w:p>
        </w:tc>
        <w:tc>
          <w:tcPr>
            <w:tcW w:type="dxa" w:w="2494"/>
            <w:shd w:val="clear" w:color="auto" w:fill="F2F2F2"/>
          </w:tcPr>
          <w:p>
            <w:r/>
          </w:p>
          <w:p>
            <w:pPr>
              <w:spacing w:after="0"/>
            </w:pPr>
            <w:r>
              <w:rPr>
                <w:b/>
                <w:i w:val="0"/>
                <w:color w:val="5E6270"/>
                <w:sz w:val="16"/>
              </w:rPr>
              <w:t>NOTE</w:t>
            </w:r>
          </w:p>
        </w:tc>
      </w:tr>
      <w:tr>
        <w:tc>
          <w:tcPr>
            <w:tcW w:type="dxa" w:w="850"/>
          </w:tcPr>
          <w:p>
            <w:r/>
            <w:r>
              <w:rPr>
                <w:sz w:val="19"/>
              </w:rPr>
              <w:t>L01</w:t>
            </w:r>
          </w:p>
        </w:tc>
        <w:tc>
          <w:tcPr>
            <w:tcW w:type="dxa" w:w="907"/>
          </w:tcPr>
          <w:p>
            <w:r/>
            <w:r>
              <w:rPr>
                <w:sz w:val="19"/>
              </w:rPr>
              <w:t>0:00.5</w:t>
            </w:r>
          </w:p>
        </w:tc>
        <w:tc>
          <w:tcPr>
            <w:tcW w:type="dxa" w:w="3969"/>
          </w:tcPr>
          <w:p>
            <w:r/>
            <w:r>
              <w:rPr>
                <w:sz w:val="19"/>
              </w:rPr>
              <w:t>This is a wholesale fund in Australia. Its investors hold units on a register.</w:t>
            </w:r>
          </w:p>
        </w:tc>
        <w:tc>
          <w:tcPr>
            <w:tcW w:type="dxa" w:w="6803"/>
          </w:tcPr>
          <w:p>
            <w:r/>
          </w:p>
          <w:p>
            <w:pPr>
              <w:spacing w:after="0"/>
            </w:pPr>
            <w:r>
              <w:rPr>
                <w:b w:val="0"/>
                <w:i/>
                <w:color w:val="5E6270"/>
                <w:sz w:val="18"/>
              </w:rPr>
              <w:t>The process applies broadly across managed investment schemes, unit trusts, unlisted companies, and special purpose vehicles</w:t>
            </w:r>
          </w:p>
          <w:p>
            <w:pPr>
              <w:spacing w:after="80"/>
            </w:pPr>
            <w:r>
              <w:rPr>
                <w:b/>
                <w:i w:val="0"/>
                <w:color w:val="009C9C"/>
                <w:sz w:val="16"/>
              </w:rPr>
              <w:t>KH-FUND</w:t>
            </w:r>
          </w:p>
          <w:p>
            <w:pPr>
              <w:spacing w:after="0"/>
            </w:pPr>
            <w:r>
              <w:rPr>
                <w:b w:val="0"/>
                <w:i/>
                <w:color w:val="5E6270"/>
                <w:sz w:val="18"/>
              </w:rPr>
              <w:t>Wholesale and retail structures carry different disclosure and compliance obligations.</w:t>
            </w:r>
          </w:p>
          <w:p>
            <w:pPr>
              <w:spacing w:after="80"/>
            </w:pPr>
            <w:r>
              <w:rPr>
                <w:b/>
                <w:i w:val="0"/>
                <w:color w:val="009C9C"/>
                <w:sz w:val="16"/>
              </w:rPr>
              <w:t>KH-FUND</w:t>
            </w:r>
          </w:p>
        </w:tc>
        <w:tc>
          <w:tcPr>
            <w:tcW w:type="dxa" w:w="2494"/>
          </w:tcPr>
          <w:p>
            <w:r/>
            <w:r>
              <w:rPr>
                <w:sz w:val="19"/>
              </w:rPr>
              <w:t>Describes the illustrative asset. Not a claim about Redbelly or Tokeniser.</w:t>
            </w:r>
          </w:p>
        </w:tc>
      </w:tr>
      <w:tr>
        <w:tc>
          <w:tcPr>
            <w:tcW w:type="dxa" w:w="850"/>
          </w:tcPr>
          <w:p>
            <w:r/>
            <w:r>
              <w:rPr>
                <w:sz w:val="19"/>
              </w:rPr>
              <w:t>L02</w:t>
            </w:r>
          </w:p>
        </w:tc>
        <w:tc>
          <w:tcPr>
            <w:tcW w:type="dxa" w:w="907"/>
          </w:tcPr>
          <w:p>
            <w:r/>
            <w:r>
              <w:rPr>
                <w:sz w:val="19"/>
              </w:rPr>
              <w:t>0:05.2</w:t>
            </w:r>
          </w:p>
        </w:tc>
        <w:tc>
          <w:tcPr>
            <w:tcW w:type="dxa" w:w="3969"/>
          </w:tcPr>
          <w:p>
            <w:r/>
            <w:r>
              <w:rPr>
                <w:sz w:val="19"/>
              </w:rPr>
              <w:t>How does it become a token on Redbelly?</w:t>
            </w:r>
          </w:p>
        </w:tc>
        <w:tc>
          <w:tcPr>
            <w:tcW w:type="dxa" w:w="6803"/>
          </w:tcPr>
          <w:p>
            <w:r/>
          </w:p>
          <w:p>
            <w:pPr>
              <w:spacing w:after="0"/>
            </w:pPr>
            <w:r>
              <w:rPr>
                <w:b w:val="0"/>
                <w:i/>
                <w:color w:val="5E6270"/>
                <w:sz w:val="18"/>
              </w:rPr>
              <w:t>Tokeniser operates on Redbelly Network, Australia's public digital token infrastructure, with identity and eligibility built into the protocol.</w:t>
            </w:r>
          </w:p>
          <w:p>
            <w:pPr>
              <w:spacing w:after="80"/>
            </w:pPr>
            <w:r>
              <w:rPr>
                <w:b/>
                <w:i w:val="0"/>
                <w:color w:val="009C9C"/>
                <w:sz w:val="16"/>
              </w:rPr>
              <w:t>TK-HOME</w:t>
            </w:r>
          </w:p>
        </w:tc>
        <w:tc>
          <w:tcPr>
            <w:tcW w:type="dxa" w:w="2494"/>
          </w:tcPr>
          <w:p>
            <w:r/>
            <w:r>
              <w:rPr>
                <w:sz w:val="19"/>
              </w:rPr>
            </w:r>
          </w:p>
        </w:tc>
      </w:tr>
      <w:tr>
        <w:tc>
          <w:tcPr>
            <w:tcW w:type="dxa" w:w="850"/>
          </w:tcPr>
          <w:p>
            <w:r/>
            <w:r>
              <w:rPr>
                <w:sz w:val="19"/>
              </w:rPr>
              <w:t>L03</w:t>
            </w:r>
          </w:p>
        </w:tc>
        <w:tc>
          <w:tcPr>
            <w:tcW w:type="dxa" w:w="907"/>
          </w:tcPr>
          <w:p>
            <w:r/>
            <w:r>
              <w:rPr>
                <w:sz w:val="19"/>
              </w:rPr>
              <w:t>0:07.8</w:t>
            </w:r>
          </w:p>
        </w:tc>
        <w:tc>
          <w:tcPr>
            <w:tcW w:type="dxa" w:w="3969"/>
          </w:tcPr>
          <w:p>
            <w:r/>
            <w:r>
              <w:rPr>
                <w:sz w:val="19"/>
              </w:rPr>
              <w:t>Today, registers sit across separate systems, checks are manual, and settlement takes days.</w:t>
            </w:r>
          </w:p>
        </w:tc>
        <w:tc>
          <w:tcPr>
            <w:tcW w:type="dxa" w:w="6803"/>
          </w:tcPr>
          <w:p>
            <w:r/>
          </w:p>
          <w:p>
            <w:pPr>
              <w:spacing w:after="0"/>
            </w:pPr>
            <w:r>
              <w:rPr>
                <w:b w:val="0"/>
                <w:i/>
                <w:color w:val="5E6270"/>
                <w:sz w:val="18"/>
              </w:rPr>
              <w:t>Most fund registers are updated after the fact, across several systems that require manual reconciliation.</w:t>
            </w:r>
          </w:p>
          <w:p>
            <w:pPr>
              <w:spacing w:after="80"/>
            </w:pPr>
            <w:r>
              <w:rPr>
                <w:b/>
                <w:i w:val="0"/>
                <w:color w:val="009C9C"/>
                <w:sz w:val="16"/>
              </w:rPr>
              <w:t>TK-RTT</w:t>
            </w:r>
          </w:p>
          <w:p>
            <w:pPr>
              <w:spacing w:after="0"/>
            </w:pPr>
            <w:r>
              <w:rPr>
                <w:b w:val="0"/>
                <w:i/>
                <w:color w:val="5E6270"/>
                <w:sz w:val="18"/>
              </w:rPr>
              <w:t>Investor eligibility, holder limits and transfer restrictions are typically managed through spreadsheets, emails and manual sign-offs.</w:t>
            </w:r>
          </w:p>
          <w:p>
            <w:pPr>
              <w:spacing w:after="80"/>
            </w:pPr>
            <w:r>
              <w:rPr>
                <w:b/>
                <w:i w:val="0"/>
                <w:color w:val="009C9C"/>
                <w:sz w:val="16"/>
              </w:rPr>
              <w:t>TK-AC</w:t>
            </w:r>
          </w:p>
          <w:p>
            <w:pPr>
              <w:spacing w:after="0"/>
            </w:pPr>
            <w:r>
              <w:rPr>
                <w:b w:val="0"/>
                <w:i/>
                <w:color w:val="5E6270"/>
                <w:sz w:val="18"/>
              </w:rPr>
              <w:t>Every subscription, redemption and transfer remains unsettled for two business days in listed funds, and often longer in private assets.</w:t>
            </w:r>
          </w:p>
          <w:p>
            <w:pPr>
              <w:spacing w:after="80"/>
            </w:pPr>
            <w:r>
              <w:rPr>
                <w:b/>
                <w:i w:val="0"/>
                <w:color w:val="009C9C"/>
                <w:sz w:val="16"/>
              </w:rPr>
              <w:t>TK-IS</w:t>
            </w:r>
          </w:p>
        </w:tc>
        <w:tc>
          <w:tcPr>
            <w:tcW w:type="dxa" w:w="2494"/>
          </w:tcPr>
          <w:p>
            <w:r/>
            <w:r>
              <w:rPr>
                <w:sz w:val="19"/>
              </w:rPr>
              <w:t>"Settlement takes days" summarises two business days in listed funds and often longer in private assets.</w:t>
            </w:r>
          </w:p>
        </w:tc>
      </w:tr>
      <w:tr>
        <w:tc>
          <w:tcPr>
            <w:tcW w:type="dxa" w:w="850"/>
          </w:tcPr>
          <w:p>
            <w:r/>
            <w:r>
              <w:rPr>
                <w:sz w:val="19"/>
              </w:rPr>
              <w:t>L04</w:t>
            </w:r>
          </w:p>
        </w:tc>
        <w:tc>
          <w:tcPr>
            <w:tcW w:type="dxa" w:w="907"/>
          </w:tcPr>
          <w:p>
            <w:r/>
            <w:r>
              <w:rPr>
                <w:sz w:val="19"/>
              </w:rPr>
              <w:t>0:13.5</w:t>
            </w:r>
          </w:p>
        </w:tc>
        <w:tc>
          <w:tcPr>
            <w:tcW w:type="dxa" w:w="3969"/>
          </w:tcPr>
          <w:p>
            <w:r/>
            <w:r>
              <w:rPr>
                <w:sz w:val="19"/>
              </w:rPr>
              <w:t>Step one. A legal review confirms the trust deed allows ownership on chain.</w:t>
            </w:r>
          </w:p>
        </w:tc>
        <w:tc>
          <w:tcPr>
            <w:tcW w:type="dxa" w:w="6803"/>
          </w:tcPr>
          <w:p>
            <w:r/>
          </w:p>
          <w:p>
            <w:pPr>
              <w:spacing w:after="0"/>
            </w:pPr>
            <w:r>
              <w:rPr>
                <w:b w:val="0"/>
                <w:i/>
                <w:color w:val="5E6270"/>
                <w:sz w:val="18"/>
              </w:rPr>
              <w:t>The first step in tokenising a fund in Australia is a legal review of the fund's constitutional documents, the trust deed, constitution, or shareholder agreement, to confirm that they permit on-chain ownership records and electronic transfer of interests.</w:t>
            </w:r>
          </w:p>
          <w:p>
            <w:pPr>
              <w:spacing w:after="80"/>
            </w:pPr>
            <w:r>
              <w:rPr>
                <w:b/>
                <w:i w:val="0"/>
                <w:color w:val="009C9C"/>
                <w:sz w:val="16"/>
              </w:rPr>
              <w:t>KH-FUND</w:t>
            </w:r>
          </w:p>
        </w:tc>
        <w:tc>
          <w:tcPr>
            <w:tcW w:type="dxa" w:w="2494"/>
          </w:tcPr>
          <w:p>
            <w:r/>
            <w:r>
              <w:rPr>
                <w:sz w:val="19"/>
              </w:rPr>
            </w:r>
          </w:p>
        </w:tc>
      </w:tr>
      <w:tr>
        <w:tc>
          <w:tcPr>
            <w:tcW w:type="dxa" w:w="850"/>
          </w:tcPr>
          <w:p>
            <w:r/>
            <w:r>
              <w:rPr>
                <w:sz w:val="19"/>
              </w:rPr>
              <w:t>L05</w:t>
            </w:r>
          </w:p>
        </w:tc>
        <w:tc>
          <w:tcPr>
            <w:tcW w:type="dxa" w:w="907"/>
          </w:tcPr>
          <w:p>
            <w:r/>
            <w:r>
              <w:rPr>
                <w:sz w:val="19"/>
              </w:rPr>
              <w:t>0:18.3</w:t>
            </w:r>
          </w:p>
        </w:tc>
        <w:tc>
          <w:tcPr>
            <w:tcW w:type="dxa" w:w="3969"/>
          </w:tcPr>
          <w:p>
            <w:r/>
            <w:r>
              <w:rPr>
                <w:sz w:val="19"/>
              </w:rPr>
              <w:t>The manager's existing licence covers it. There is no separate tokenisation licence.</w:t>
            </w:r>
          </w:p>
        </w:tc>
        <w:tc>
          <w:tcPr>
            <w:tcW w:type="dxa" w:w="6803"/>
          </w:tcPr>
          <w:p>
            <w:r/>
          </w:p>
          <w:p>
            <w:pPr>
              <w:spacing w:after="0"/>
            </w:pPr>
            <w:r>
              <w:rPr>
                <w:b w:val="0"/>
                <w:i/>
                <w:color w:val="5E6270"/>
                <w:sz w:val="18"/>
              </w:rPr>
              <w:t>There is no separate tokenisation licence required in Australia. The fund manager's existing AFSL (or their reliance on an AFSL holder) covers the issuance of tokenised fund interests in the same way it covers traditional interests.</w:t>
            </w:r>
          </w:p>
          <w:p>
            <w:pPr>
              <w:spacing w:after="80"/>
            </w:pPr>
            <w:r>
              <w:rPr>
                <w:b/>
                <w:i w:val="0"/>
                <w:color w:val="009C9C"/>
                <w:sz w:val="16"/>
              </w:rPr>
              <w:t>KH-FUND</w:t>
            </w:r>
          </w:p>
        </w:tc>
        <w:tc>
          <w:tcPr>
            <w:tcW w:type="dxa" w:w="2494"/>
          </w:tcPr>
          <w:p>
            <w:r/>
            <w:r>
              <w:rPr>
                <w:sz w:val="19"/>
              </w:rPr>
            </w:r>
          </w:p>
        </w:tc>
      </w:tr>
      <w:tr>
        <w:tc>
          <w:tcPr>
            <w:tcW w:type="dxa" w:w="850"/>
          </w:tcPr>
          <w:p>
            <w:r/>
            <w:r>
              <w:rPr>
                <w:sz w:val="19"/>
              </w:rPr>
              <w:t>L06</w:t>
            </w:r>
          </w:p>
        </w:tc>
        <w:tc>
          <w:tcPr>
            <w:tcW w:type="dxa" w:w="907"/>
          </w:tcPr>
          <w:p>
            <w:r/>
            <w:r>
              <w:rPr>
                <w:sz w:val="19"/>
              </w:rPr>
              <w:t>0:23.8</w:t>
            </w:r>
          </w:p>
        </w:tc>
        <w:tc>
          <w:tcPr>
            <w:tcW w:type="dxa" w:w="3969"/>
          </w:tcPr>
          <w:p>
            <w:r/>
            <w:r>
              <w:rPr>
                <w:sz w:val="19"/>
              </w:rPr>
              <w:t>Step two. On Tokeniser, the manager sets the rules: who can invest, foreign ownership limits, lock-up periods.</w:t>
            </w:r>
          </w:p>
        </w:tc>
        <w:tc>
          <w:tcPr>
            <w:tcW w:type="dxa" w:w="6803"/>
          </w:tcPr>
          <w:p>
            <w:r/>
          </w:p>
          <w:p>
            <w:pPr>
              <w:spacing w:after="0"/>
            </w:pPr>
            <w:r>
              <w:rPr>
                <w:b w:val="0"/>
                <w:i/>
                <w:color w:val="5E6270"/>
                <w:sz w:val="18"/>
              </w:rPr>
              <w:t>the compliance rules to be encoded (investor eligibility, transfer restrictions, foreign ownership limits)</w:t>
            </w:r>
          </w:p>
          <w:p>
            <w:pPr>
              <w:spacing w:after="80"/>
            </w:pPr>
            <w:r>
              <w:rPr>
                <w:b/>
                <w:i w:val="0"/>
                <w:color w:val="009C9C"/>
                <w:sz w:val="16"/>
              </w:rPr>
              <w:t>KH-FUND</w:t>
            </w:r>
          </w:p>
          <w:p>
            <w:pPr>
              <w:spacing w:after="0"/>
            </w:pPr>
            <w:r>
              <w:rPr>
                <w:b w:val="0"/>
                <w:i/>
                <w:color w:val="5E6270"/>
                <w:sz w:val="18"/>
              </w:rPr>
              <w:t>Foreign ownership limits, lock-up periods, and wholesale investor thresholds are all configurable compliance parameters.</w:t>
            </w:r>
          </w:p>
          <w:p>
            <w:pPr>
              <w:spacing w:after="80"/>
            </w:pPr>
            <w:r>
              <w:rPr>
                <w:b/>
                <w:i w:val="0"/>
                <w:color w:val="009C9C"/>
                <w:sz w:val="16"/>
              </w:rPr>
              <w:t>KH-COMP</w:t>
            </w:r>
          </w:p>
        </w:tc>
        <w:tc>
          <w:tcPr>
            <w:tcW w:type="dxa" w:w="2494"/>
          </w:tcPr>
          <w:p>
            <w:r/>
            <w:r>
              <w:rPr>
                <w:sz w:val="19"/>
              </w:rPr>
            </w:r>
          </w:p>
        </w:tc>
      </w:tr>
      <w:tr>
        <w:tc>
          <w:tcPr>
            <w:tcW w:type="dxa" w:w="850"/>
          </w:tcPr>
          <w:p>
            <w:r/>
            <w:r>
              <w:rPr>
                <w:sz w:val="19"/>
              </w:rPr>
              <w:t>L07</w:t>
            </w:r>
          </w:p>
        </w:tc>
        <w:tc>
          <w:tcPr>
            <w:tcW w:type="dxa" w:w="907"/>
          </w:tcPr>
          <w:p>
            <w:r/>
            <w:r>
              <w:rPr>
                <w:sz w:val="19"/>
              </w:rPr>
              <w:t>0:30.7</w:t>
            </w:r>
          </w:p>
        </w:tc>
        <w:tc>
          <w:tcPr>
            <w:tcW w:type="dxa" w:w="3969"/>
          </w:tcPr>
          <w:p>
            <w:r/>
            <w:r>
              <w:rPr>
                <w:sz w:val="19"/>
              </w:rPr>
              <w:t>They are written into the token itself.</w:t>
            </w:r>
          </w:p>
        </w:tc>
        <w:tc>
          <w:tcPr>
            <w:tcW w:type="dxa" w:w="6803"/>
          </w:tcPr>
          <w:p>
            <w:r/>
          </w:p>
          <w:p>
            <w:pPr>
              <w:spacing w:after="0"/>
            </w:pPr>
            <w:r>
              <w:rPr>
                <w:b w:val="0"/>
                <w:i/>
                <w:color w:val="5E6270"/>
                <w:sz w:val="18"/>
              </w:rPr>
              <w:t>The compliance parameters configured at this stage are encoded into the token's smart contract.</w:t>
            </w:r>
          </w:p>
          <w:p>
            <w:pPr>
              <w:spacing w:after="80"/>
            </w:pPr>
            <w:r>
              <w:rPr>
                <w:b/>
                <w:i w:val="0"/>
                <w:color w:val="009C9C"/>
                <w:sz w:val="16"/>
              </w:rPr>
              <w:t>KH-WORK</w:t>
            </w:r>
          </w:p>
        </w:tc>
        <w:tc>
          <w:tcPr>
            <w:tcW w:type="dxa" w:w="2494"/>
          </w:tcPr>
          <w:p>
            <w:r/>
            <w:r>
              <w:rPr>
                <w:sz w:val="19"/>
              </w:rPr>
            </w:r>
          </w:p>
        </w:tc>
      </w:tr>
      <w:tr>
        <w:tc>
          <w:tcPr>
            <w:tcW w:type="dxa" w:w="850"/>
          </w:tcPr>
          <w:p>
            <w:r/>
            <w:r>
              <w:rPr>
                <w:sz w:val="19"/>
              </w:rPr>
              <w:t>L08</w:t>
            </w:r>
          </w:p>
        </w:tc>
        <w:tc>
          <w:tcPr>
            <w:tcW w:type="dxa" w:w="907"/>
          </w:tcPr>
          <w:p>
            <w:r/>
            <w:r>
              <w:rPr>
                <w:sz w:val="19"/>
              </w:rPr>
              <w:t>0:33.2</w:t>
            </w:r>
          </w:p>
        </w:tc>
        <w:tc>
          <w:tcPr>
            <w:tcW w:type="dxa" w:w="3969"/>
          </w:tcPr>
          <w:p>
            <w:r/>
            <w:r>
              <w:rPr>
                <w:sz w:val="19"/>
              </w:rPr>
              <w:t>Step three. Each investor is verified: identity, anti-money laundering screening, investor classification.</w:t>
            </w:r>
          </w:p>
        </w:tc>
        <w:tc>
          <w:tcPr>
            <w:tcW w:type="dxa" w:w="6803"/>
          </w:tcPr>
          <w:p>
            <w:r/>
          </w:p>
          <w:p>
            <w:pPr>
              <w:spacing w:after="0"/>
            </w:pPr>
            <w:r>
              <w:rPr>
                <w:b w:val="0"/>
                <w:i/>
                <w:color w:val="5E6270"/>
                <w:sz w:val="18"/>
              </w:rPr>
              <w:t>This covers identity document verification, liveness checking, AML screening against sanctions and politically exposed person lists, and investor classification under the Corporations Act</w:t>
            </w:r>
          </w:p>
          <w:p>
            <w:pPr>
              <w:spacing w:after="80"/>
            </w:pPr>
            <w:r>
              <w:rPr>
                <w:b/>
                <w:i w:val="0"/>
                <w:color w:val="009C9C"/>
                <w:sz w:val="16"/>
              </w:rPr>
              <w:t>KH-COMP</w:t>
            </w:r>
          </w:p>
        </w:tc>
        <w:tc>
          <w:tcPr>
            <w:tcW w:type="dxa" w:w="2494"/>
          </w:tcPr>
          <w:p>
            <w:r/>
            <w:r>
              <w:rPr>
                <w:sz w:val="19"/>
              </w:rPr>
            </w:r>
          </w:p>
        </w:tc>
      </w:tr>
      <w:tr>
        <w:tc>
          <w:tcPr>
            <w:tcW w:type="dxa" w:w="850"/>
          </w:tcPr>
          <w:p>
            <w:r/>
            <w:r>
              <w:rPr>
                <w:sz w:val="19"/>
              </w:rPr>
              <w:t>L09</w:t>
            </w:r>
          </w:p>
        </w:tc>
        <w:tc>
          <w:tcPr>
            <w:tcW w:type="dxa" w:w="907"/>
          </w:tcPr>
          <w:p>
            <w:r/>
            <w:r>
              <w:rPr>
                <w:sz w:val="19"/>
              </w:rPr>
              <w:t>0:40.1</w:t>
            </w:r>
          </w:p>
        </w:tc>
        <w:tc>
          <w:tcPr>
            <w:tcW w:type="dxa" w:w="3969"/>
          </w:tcPr>
          <w:p>
            <w:r/>
            <w:r>
              <w:rPr>
                <w:sz w:val="19"/>
              </w:rPr>
              <w:t>Until then, no tokens can reach their wallet.</w:t>
            </w:r>
          </w:p>
        </w:tc>
        <w:tc>
          <w:tcPr>
            <w:tcW w:type="dxa" w:w="6803"/>
          </w:tcPr>
          <w:p>
            <w:r/>
          </w:p>
          <w:p>
            <w:pPr>
              <w:spacing w:after="0"/>
            </w:pPr>
            <w:r>
              <w:rPr>
                <w:b w:val="0"/>
                <w:i/>
                <w:color w:val="5E6270"/>
                <w:sz w:val="18"/>
              </w:rPr>
              <w:t>Until this process is complete and the investor's wallet is verified, tokens cannot be issued to or transferred into that wallet.</w:t>
            </w:r>
          </w:p>
          <w:p>
            <w:pPr>
              <w:spacing w:after="80"/>
            </w:pPr>
            <w:r>
              <w:rPr>
                <w:b/>
                <w:i w:val="0"/>
                <w:color w:val="009C9C"/>
                <w:sz w:val="16"/>
              </w:rPr>
              <w:t>KH-COMP</w:t>
            </w:r>
          </w:p>
        </w:tc>
        <w:tc>
          <w:tcPr>
            <w:tcW w:type="dxa" w:w="2494"/>
          </w:tcPr>
          <w:p>
            <w:r/>
            <w:r>
              <w:rPr>
                <w:sz w:val="19"/>
              </w:rPr>
            </w:r>
          </w:p>
        </w:tc>
      </w:tr>
      <w:tr>
        <w:tc>
          <w:tcPr>
            <w:tcW w:type="dxa" w:w="850"/>
          </w:tcPr>
          <w:p>
            <w:r/>
            <w:r>
              <w:rPr>
                <w:sz w:val="19"/>
              </w:rPr>
              <w:t>L10</w:t>
            </w:r>
          </w:p>
        </w:tc>
        <w:tc>
          <w:tcPr>
            <w:tcW w:type="dxa" w:w="907"/>
          </w:tcPr>
          <w:p>
            <w:r/>
            <w:r>
              <w:rPr>
                <w:sz w:val="19"/>
              </w:rPr>
              <w:t>0:43.2</w:t>
            </w:r>
          </w:p>
        </w:tc>
        <w:tc>
          <w:tcPr>
            <w:tcW w:type="dxa" w:w="3969"/>
          </w:tcPr>
          <w:p>
            <w:r/>
            <w:r>
              <w:rPr>
                <w:sz w:val="19"/>
              </w:rPr>
              <w:t>Step four. Tokens for their units are issued on Redbelly Network, into verified wallets.</w:t>
            </w:r>
          </w:p>
        </w:tc>
        <w:tc>
          <w:tcPr>
            <w:tcW w:type="dxa" w:w="6803"/>
          </w:tcPr>
          <w:p>
            <w:r/>
          </w:p>
          <w:p>
            <w:pPr>
              <w:spacing w:after="0"/>
            </w:pPr>
            <w:r>
              <w:rPr>
                <w:b w:val="0"/>
                <w:i/>
                <w:color w:val="5E6270"/>
                <w:sz w:val="18"/>
              </w:rPr>
              <w:t>Tokeniser works by representing ownership interests in regulated financial assets as digital tokens on Redbelly Network</w:t>
            </w:r>
          </w:p>
          <w:p>
            <w:pPr>
              <w:spacing w:after="80"/>
            </w:pPr>
            <w:r>
              <w:rPr>
                <w:b/>
                <w:i w:val="0"/>
                <w:color w:val="009C9C"/>
                <w:sz w:val="16"/>
              </w:rPr>
              <w:t>KH-WORK</w:t>
            </w:r>
          </w:p>
          <w:p>
            <w:pPr>
              <w:spacing w:after="0"/>
            </w:pPr>
            <w:r>
              <w:rPr>
                <w:b w:val="0"/>
                <w:i/>
                <w:color w:val="5E6270"/>
                <w:sz w:val="18"/>
              </w:rPr>
              <w:t>Tokens are minted on Redbelly Network and transferred to the verified investor wallets.</w:t>
            </w:r>
          </w:p>
          <w:p>
            <w:pPr>
              <w:spacing w:after="80"/>
            </w:pPr>
            <w:r>
              <w:rPr>
                <w:b/>
                <w:i w:val="0"/>
                <w:color w:val="009C9C"/>
                <w:sz w:val="16"/>
              </w:rPr>
              <w:t>KH-WORK</w:t>
            </w:r>
          </w:p>
        </w:tc>
        <w:tc>
          <w:tcPr>
            <w:tcW w:type="dxa" w:w="2494"/>
          </w:tcPr>
          <w:p>
            <w:r/>
            <w:r>
              <w:rPr>
                <w:sz w:val="19"/>
              </w:rPr>
            </w:r>
          </w:p>
        </w:tc>
      </w:tr>
      <w:tr>
        <w:tc>
          <w:tcPr>
            <w:tcW w:type="dxa" w:w="850"/>
          </w:tcPr>
          <w:p>
            <w:r/>
            <w:r>
              <w:rPr>
                <w:sz w:val="19"/>
              </w:rPr>
              <w:t>L11</w:t>
            </w:r>
          </w:p>
        </w:tc>
        <w:tc>
          <w:tcPr>
            <w:tcW w:type="dxa" w:w="907"/>
          </w:tcPr>
          <w:p>
            <w:r/>
            <w:r>
              <w:rPr>
                <w:sz w:val="19"/>
              </w:rPr>
              <w:t>0:48.7</w:t>
            </w:r>
          </w:p>
        </w:tc>
        <w:tc>
          <w:tcPr>
            <w:tcW w:type="dxa" w:w="3969"/>
          </w:tcPr>
          <w:p>
            <w:r/>
            <w:r>
              <w:rPr>
                <w:sz w:val="19"/>
              </w:rPr>
              <w:t>The register is live from the first token.</w:t>
            </w:r>
          </w:p>
        </w:tc>
        <w:tc>
          <w:tcPr>
            <w:tcW w:type="dxa" w:w="6803"/>
          </w:tcPr>
          <w:p>
            <w:r/>
          </w:p>
          <w:p>
            <w:pPr>
              <w:spacing w:after="0"/>
            </w:pPr>
            <w:r>
              <w:rPr>
                <w:b w:val="0"/>
                <w:i/>
                <w:color w:val="5E6270"/>
                <w:sz w:val="18"/>
              </w:rPr>
              <w:t>The cap table is live from the first token issued.</w:t>
            </w:r>
          </w:p>
          <w:p>
            <w:pPr>
              <w:spacing w:after="80"/>
            </w:pPr>
            <w:r>
              <w:rPr>
                <w:b/>
                <w:i w:val="0"/>
                <w:color w:val="009C9C"/>
                <w:sz w:val="16"/>
              </w:rPr>
              <w:t>KH-WORK</w:t>
            </w:r>
          </w:p>
        </w:tc>
        <w:tc>
          <w:tcPr>
            <w:tcW w:type="dxa" w:w="2494"/>
          </w:tcPr>
          <w:p>
            <w:r/>
            <w:r>
              <w:rPr>
                <w:sz w:val="19"/>
              </w:rPr>
            </w:r>
          </w:p>
        </w:tc>
      </w:tr>
      <w:tr>
        <w:tc>
          <w:tcPr>
            <w:tcW w:type="dxa" w:w="850"/>
          </w:tcPr>
          <w:p>
            <w:r/>
            <w:r>
              <w:rPr>
                <w:sz w:val="19"/>
              </w:rPr>
              <w:t>L12</w:t>
            </w:r>
          </w:p>
        </w:tc>
        <w:tc>
          <w:tcPr>
            <w:tcW w:type="dxa" w:w="907"/>
          </w:tcPr>
          <w:p>
            <w:r/>
            <w:r>
              <w:rPr>
                <w:sz w:val="19"/>
              </w:rPr>
              <w:t>0:51.6</w:t>
            </w:r>
          </w:p>
        </w:tc>
        <w:tc>
          <w:tcPr>
            <w:tcW w:type="dxa" w:w="3969"/>
          </w:tcPr>
          <w:p>
            <w:r/>
            <w:r>
              <w:rPr>
                <w:sz w:val="19"/>
              </w:rPr>
              <w:t>Step five. Every transfer is checked against those rules first.</w:t>
            </w:r>
          </w:p>
        </w:tc>
        <w:tc>
          <w:tcPr>
            <w:tcW w:type="dxa" w:w="6803"/>
          </w:tcPr>
          <w:p>
            <w:r/>
          </w:p>
          <w:p>
            <w:pPr>
              <w:spacing w:after="0"/>
            </w:pPr>
            <w:r>
              <w:rPr>
                <w:b w:val="0"/>
                <w:i/>
                <w:color w:val="5E6270"/>
                <w:sz w:val="18"/>
              </w:rPr>
              <w:t>Every transfer is checked against configured compliance parameters before submission.</w:t>
            </w:r>
          </w:p>
          <w:p>
            <w:pPr>
              <w:spacing w:after="80"/>
            </w:pPr>
            <w:r>
              <w:rPr>
                <w:b/>
                <w:i w:val="0"/>
                <w:color w:val="009C9C"/>
                <w:sz w:val="16"/>
              </w:rPr>
              <w:t>KH-WORK</w:t>
            </w:r>
          </w:p>
          <w:p>
            <w:pPr>
              <w:spacing w:after="0"/>
            </w:pPr>
            <w:r>
              <w:rPr>
                <w:b w:val="0"/>
                <w:i/>
                <w:color w:val="5E6270"/>
                <w:sz w:val="18"/>
              </w:rPr>
              <w:t>Every holder is verified and every transfer checked against the asset's rules, automatically.</w:t>
            </w:r>
          </w:p>
          <w:p>
            <w:pPr>
              <w:spacing w:after="80"/>
            </w:pPr>
            <w:r>
              <w:rPr>
                <w:b/>
                <w:i w:val="0"/>
                <w:color w:val="009C9C"/>
                <w:sz w:val="16"/>
              </w:rPr>
              <w:t>TK-HOME</w:t>
            </w:r>
          </w:p>
        </w:tc>
        <w:tc>
          <w:tcPr>
            <w:tcW w:type="dxa" w:w="2494"/>
          </w:tcPr>
          <w:p>
            <w:r/>
            <w:r>
              <w:rPr>
                <w:sz w:val="19"/>
              </w:rPr>
            </w:r>
          </w:p>
        </w:tc>
      </w:tr>
      <w:tr>
        <w:tc>
          <w:tcPr>
            <w:tcW w:type="dxa" w:w="850"/>
          </w:tcPr>
          <w:p>
            <w:r/>
            <w:r>
              <w:rPr>
                <w:sz w:val="19"/>
              </w:rPr>
              <w:t>L13</w:t>
            </w:r>
          </w:p>
        </w:tc>
        <w:tc>
          <w:tcPr>
            <w:tcW w:type="dxa" w:w="907"/>
          </w:tcPr>
          <w:p>
            <w:r/>
            <w:r>
              <w:rPr>
                <w:sz w:val="19"/>
              </w:rPr>
              <w:t>0:55.1</w:t>
            </w:r>
          </w:p>
        </w:tc>
        <w:tc>
          <w:tcPr>
            <w:tcW w:type="dxa" w:w="3969"/>
          </w:tcPr>
          <w:p>
            <w:r/>
            <w:r>
              <w:rPr>
                <w:sz w:val="19"/>
              </w:rPr>
              <w:t>Break a rule, and it is rejected.</w:t>
            </w:r>
          </w:p>
        </w:tc>
        <w:tc>
          <w:tcPr>
            <w:tcW w:type="dxa" w:w="6803"/>
          </w:tcPr>
          <w:p>
            <w:r/>
          </w:p>
          <w:p>
            <w:pPr>
              <w:spacing w:after="0"/>
            </w:pPr>
            <w:r>
              <w:rPr>
                <w:b w:val="0"/>
                <w:i/>
                <w:color w:val="5E6270"/>
                <w:sz w:val="18"/>
              </w:rPr>
              <w:t>A transfer to an unverified wallet, an ineligible investor, or in breach of a transfer restriction is rejected before processing.</w:t>
            </w:r>
          </w:p>
          <w:p>
            <w:pPr>
              <w:spacing w:after="80"/>
            </w:pPr>
            <w:r>
              <w:rPr>
                <w:b/>
                <w:i w:val="0"/>
                <w:color w:val="009C9C"/>
                <w:sz w:val="16"/>
              </w:rPr>
              <w:t>KH-WORK</w:t>
            </w:r>
          </w:p>
          <w:p>
            <w:pPr>
              <w:spacing w:after="0"/>
            </w:pPr>
            <w:r>
              <w:rPr>
                <w:b w:val="0"/>
                <w:i/>
                <w:color w:val="5E6270"/>
                <w:sz w:val="18"/>
              </w:rPr>
              <w:t>Trades that fail a check do not proceed, and every check is logged.</w:t>
            </w:r>
          </w:p>
          <w:p>
            <w:pPr>
              <w:spacing w:after="80"/>
            </w:pPr>
            <w:r>
              <w:rPr>
                <w:b/>
                <w:i w:val="0"/>
                <w:color w:val="009C9C"/>
                <w:sz w:val="16"/>
              </w:rPr>
              <w:t>TK-AC</w:t>
            </w:r>
          </w:p>
        </w:tc>
        <w:tc>
          <w:tcPr>
            <w:tcW w:type="dxa" w:w="2494"/>
          </w:tcPr>
          <w:p>
            <w:r/>
            <w:r>
              <w:rPr>
                <w:sz w:val="19"/>
              </w:rPr>
            </w:r>
          </w:p>
        </w:tc>
      </w:tr>
      <w:tr>
        <w:tc>
          <w:tcPr>
            <w:tcW w:type="dxa" w:w="850"/>
          </w:tcPr>
          <w:p>
            <w:r/>
            <w:r>
              <w:rPr>
                <w:sz w:val="19"/>
              </w:rPr>
              <w:t>L14</w:t>
            </w:r>
          </w:p>
        </w:tc>
        <w:tc>
          <w:tcPr>
            <w:tcW w:type="dxa" w:w="907"/>
          </w:tcPr>
          <w:p>
            <w:r/>
            <w:r>
              <w:rPr>
                <w:sz w:val="19"/>
              </w:rPr>
              <w:t>0:57.1</w:t>
            </w:r>
          </w:p>
        </w:tc>
        <w:tc>
          <w:tcPr>
            <w:tcW w:type="dxa" w:w="3969"/>
          </w:tcPr>
          <w:p>
            <w:r/>
            <w:r>
              <w:rPr>
                <w:sz w:val="19"/>
              </w:rPr>
              <w:t>Pass, and it settles in seconds.</w:t>
            </w:r>
          </w:p>
        </w:tc>
        <w:tc>
          <w:tcPr>
            <w:tcW w:type="dxa" w:w="6803"/>
          </w:tcPr>
          <w:p>
            <w:r/>
          </w:p>
          <w:p>
            <w:pPr>
              <w:spacing w:after="0"/>
            </w:pPr>
            <w:r>
              <w:rPr>
                <w:b w:val="0"/>
                <w:i/>
                <w:color w:val="5E6270"/>
                <w:sz w:val="18"/>
              </w:rPr>
              <w:t>Compliant transfers settle atomically on Redbelly Network in seconds.</w:t>
            </w:r>
          </w:p>
          <w:p>
            <w:pPr>
              <w:spacing w:after="80"/>
            </w:pPr>
            <w:r>
              <w:rPr>
                <w:b/>
                <w:i w:val="0"/>
                <w:color w:val="009C9C"/>
                <w:sz w:val="16"/>
              </w:rPr>
              <w:t>KH-WORK</w:t>
            </w:r>
          </w:p>
          <w:p>
            <w:pPr>
              <w:spacing w:after="0"/>
            </w:pPr>
            <w:r>
              <w:rPr>
                <w:b w:val="0"/>
                <w:i/>
                <w:color w:val="5E6270"/>
                <w:sz w:val="18"/>
              </w:rPr>
              <w:t>On Tokeniser, cash and units are exchanged in a single step and the register updates simultaneously, or the transaction does not proceed.</w:t>
            </w:r>
          </w:p>
          <w:p>
            <w:pPr>
              <w:spacing w:after="80"/>
            </w:pPr>
            <w:r>
              <w:rPr>
                <w:b/>
                <w:i w:val="0"/>
                <w:color w:val="009C9C"/>
                <w:sz w:val="16"/>
              </w:rPr>
              <w:t>TK-IS</w:t>
            </w:r>
          </w:p>
        </w:tc>
        <w:tc>
          <w:tcPr>
            <w:tcW w:type="dxa" w:w="2494"/>
          </w:tcPr>
          <w:p>
            <w:r/>
            <w:r>
              <w:rPr>
                <w:sz w:val="19"/>
              </w:rPr>
              <w:t>The Knowledge Hub also notes that with placeholder and omnibus wallets, payment and issuance follow their traditional sequence. The line follows the Knowledge Hub's own step 4 wording.</w:t>
            </w:r>
          </w:p>
        </w:tc>
      </w:tr>
      <w:tr>
        <w:tc>
          <w:tcPr>
            <w:tcW w:type="dxa" w:w="850"/>
          </w:tcPr>
          <w:p>
            <w:r/>
            <w:r>
              <w:rPr>
                <w:sz w:val="19"/>
              </w:rPr>
              <w:t>L15</w:t>
            </w:r>
          </w:p>
        </w:tc>
        <w:tc>
          <w:tcPr>
            <w:tcW w:type="dxa" w:w="907"/>
          </w:tcPr>
          <w:p>
            <w:r/>
            <w:r>
              <w:rPr>
                <w:sz w:val="19"/>
              </w:rPr>
              <w:t>1:00.3</w:t>
            </w:r>
          </w:p>
        </w:tc>
        <w:tc>
          <w:tcPr>
            <w:tcW w:type="dxa" w:w="3969"/>
          </w:tcPr>
          <w:p>
            <w:r/>
            <w:r>
              <w:rPr>
                <w:sz w:val="19"/>
              </w:rPr>
              <w:t>Underneath is Redbelly Network, Australia's public digital token infrastructure.</w:t>
            </w:r>
          </w:p>
        </w:tc>
        <w:tc>
          <w:tcPr>
            <w:tcW w:type="dxa" w:w="6803"/>
          </w:tcPr>
          <w:p>
            <w:r/>
          </w:p>
          <w:p>
            <w:pPr>
              <w:spacing w:after="0"/>
            </w:pPr>
            <w:r>
              <w:rPr>
                <w:b w:val="0"/>
                <w:i/>
                <w:color w:val="5E6270"/>
                <w:sz w:val="18"/>
              </w:rPr>
              <w:t>Tokeniser operates on Redbelly Network, Australia's public digital token infrastructure, with identity and eligibility built into the protocol.</w:t>
            </w:r>
          </w:p>
          <w:p>
            <w:pPr>
              <w:spacing w:after="80"/>
            </w:pPr>
            <w:r>
              <w:rPr>
                <w:b/>
                <w:i w:val="0"/>
                <w:color w:val="009C9C"/>
                <w:sz w:val="16"/>
              </w:rPr>
              <w:t>TK-HOME</w:t>
            </w:r>
          </w:p>
          <w:p>
            <w:pPr>
              <w:spacing w:after="0"/>
            </w:pPr>
            <w:r>
              <w:rPr>
                <w:b w:val="0"/>
                <w:i/>
                <w:color w:val="5E6270"/>
                <w:sz w:val="18"/>
              </w:rPr>
              <w:t>Underneath it runs Redbelly Network, Australia's public digital token infrastructure: proven settlement, verified security, and eligibility built into the protocol.</w:t>
            </w:r>
          </w:p>
          <w:p>
            <w:pPr>
              <w:spacing w:after="80"/>
            </w:pPr>
            <w:r>
              <w:rPr>
                <w:b/>
                <w:i w:val="0"/>
                <w:color w:val="009C9C"/>
                <w:sz w:val="16"/>
              </w:rPr>
              <w:t>TK-TECH</w:t>
            </w:r>
          </w:p>
        </w:tc>
        <w:tc>
          <w:tcPr>
            <w:tcW w:type="dxa" w:w="2494"/>
          </w:tcPr>
          <w:p>
            <w:r/>
            <w:r>
              <w:rPr>
                <w:sz w:val="19"/>
              </w:rPr>
            </w:r>
          </w:p>
        </w:tc>
      </w:tr>
      <w:tr>
        <w:tc>
          <w:tcPr>
            <w:tcW w:type="dxa" w:w="850"/>
          </w:tcPr>
          <w:p>
            <w:r/>
            <w:r>
              <w:rPr>
                <w:sz w:val="19"/>
              </w:rPr>
              <w:t>L16</w:t>
            </w:r>
          </w:p>
        </w:tc>
        <w:tc>
          <w:tcPr>
            <w:tcW w:type="dxa" w:w="907"/>
          </w:tcPr>
          <w:p>
            <w:r/>
            <w:r>
              <w:rPr>
                <w:sz w:val="19"/>
              </w:rPr>
              <w:t>1:05.3</w:t>
            </w:r>
          </w:p>
        </w:tc>
        <w:tc>
          <w:tcPr>
            <w:tcW w:type="dxa" w:w="3969"/>
          </w:tcPr>
          <w:p>
            <w:r/>
            <w:r>
              <w:rPr>
                <w:sz w:val="19"/>
              </w:rPr>
              <w:t>Every participant's identity is verified at protocol level, and confirmed transactions cannot be reversed.</w:t>
            </w:r>
          </w:p>
        </w:tc>
        <w:tc>
          <w:tcPr>
            <w:tcW w:type="dxa" w:w="6803"/>
          </w:tcPr>
          <w:p>
            <w:r/>
          </w:p>
          <w:p>
            <w:pPr>
              <w:spacing w:after="0"/>
            </w:pPr>
            <w:r>
              <w:rPr>
                <w:b w:val="0"/>
                <w:i/>
                <w:color w:val="5E6270"/>
                <w:sz w:val="18"/>
              </w:rPr>
              <w:t>Redbelly is a public digital token infrastructure where every participant's identity is verified at the protocol level, so an open network still meets the accountability the sector requires.</w:t>
            </w:r>
          </w:p>
          <w:p>
            <w:pPr>
              <w:spacing w:after="80"/>
            </w:pPr>
            <w:r>
              <w:rPr>
                <w:b/>
                <w:i w:val="0"/>
                <w:color w:val="009C9C"/>
                <w:sz w:val="16"/>
              </w:rPr>
              <w:t>TK-GS</w:t>
            </w:r>
          </w:p>
          <w:p>
            <w:pPr>
              <w:spacing w:after="0"/>
            </w:pPr>
            <w:r>
              <w:rPr>
                <w:b w:val="0"/>
                <w:i/>
                <w:color w:val="5E6270"/>
                <w:sz w:val="18"/>
              </w:rPr>
              <w:t>Deterministic finality ensures transactions are confirmed once and cannot be reversed, providing certainty for financial markets</w:t>
            </w:r>
          </w:p>
          <w:p>
            <w:pPr>
              <w:spacing w:after="80"/>
            </w:pPr>
            <w:r>
              <w:rPr>
                <w:b/>
                <w:i w:val="0"/>
                <w:color w:val="009C9C"/>
                <w:sz w:val="16"/>
              </w:rPr>
              <w:t>RB-AT</w:t>
            </w:r>
          </w:p>
        </w:tc>
        <w:tc>
          <w:tcPr>
            <w:tcW w:type="dxa" w:w="2494"/>
          </w:tcPr>
          <w:p>
            <w:r/>
            <w:r>
              <w:rPr>
                <w:sz w:val="19"/>
              </w:rPr>
            </w:r>
          </w:p>
        </w:tc>
      </w:tr>
      <w:tr>
        <w:tc>
          <w:tcPr>
            <w:tcW w:type="dxa" w:w="850"/>
          </w:tcPr>
          <w:p>
            <w:r/>
            <w:r>
              <w:rPr>
                <w:sz w:val="19"/>
              </w:rPr>
              <w:t>L17</w:t>
            </w:r>
          </w:p>
        </w:tc>
        <w:tc>
          <w:tcPr>
            <w:tcW w:type="dxa" w:w="907"/>
          </w:tcPr>
          <w:p>
            <w:r/>
            <w:r>
              <w:rPr>
                <w:sz w:val="19"/>
              </w:rPr>
              <w:t>1:11.8</w:t>
            </w:r>
          </w:p>
        </w:tc>
        <w:tc>
          <w:tcPr>
            <w:tcW w:type="dxa" w:w="3969"/>
          </w:tcPr>
          <w:p>
            <w:r/>
            <w:r>
              <w:rPr>
                <w:sz w:val="19"/>
              </w:rPr>
              <w:t>Its consensus is formally verified. And Australia's central bank chose Redbelly for Project Acacia.</w:t>
            </w:r>
          </w:p>
        </w:tc>
        <w:tc>
          <w:tcPr>
            <w:tcW w:type="dxa" w:w="6803"/>
          </w:tcPr>
          <w:p>
            <w:r/>
          </w:p>
          <w:p>
            <w:pPr>
              <w:spacing w:after="0"/>
            </w:pPr>
            <w:r>
              <w:rPr>
                <w:b w:val="0"/>
                <w:i/>
                <w:color w:val="5E6270"/>
                <w:sz w:val="18"/>
              </w:rPr>
              <w:t>Formally verified consensus eliminates forks and rollbacks, ensuring consistent and reliable execution</w:t>
            </w:r>
          </w:p>
          <w:p>
            <w:pPr>
              <w:spacing w:after="80"/>
            </w:pPr>
            <w:r>
              <w:rPr>
                <w:b/>
                <w:i w:val="0"/>
                <w:color w:val="009C9C"/>
                <w:sz w:val="16"/>
              </w:rPr>
              <w:t>RB-AT</w:t>
            </w:r>
          </w:p>
          <w:p>
            <w:pPr>
              <w:spacing w:after="0"/>
            </w:pPr>
            <w:r>
              <w:rPr>
                <w:b w:val="0"/>
                <w:i/>
                <w:color w:val="5E6270"/>
                <w:sz w:val="18"/>
              </w:rPr>
              <w:t>Redbelly's consensus is proven correct by model checking, which exhaustively checks every reachable state of the protocol.</w:t>
            </w:r>
          </w:p>
          <w:p>
            <w:pPr>
              <w:spacing w:after="80"/>
            </w:pPr>
            <w:r>
              <w:rPr>
                <w:b/>
                <w:i w:val="0"/>
                <w:color w:val="009C9C"/>
                <w:sz w:val="16"/>
              </w:rPr>
              <w:t>TK-TECH</w:t>
            </w:r>
          </w:p>
          <w:p>
            <w:pPr>
              <w:spacing w:after="0"/>
            </w:pPr>
            <w:r>
              <w:rPr>
                <w:b w:val="0"/>
                <w:i/>
                <w:color w:val="5E6270"/>
                <w:sz w:val="18"/>
              </w:rPr>
              <w:t>Built on Redbelly, Australia's public digital token infrastructure and the network chosen by Australia's central bank for its digital currency project.</w:t>
            </w:r>
          </w:p>
          <w:p>
            <w:pPr>
              <w:spacing w:after="80"/>
            </w:pPr>
            <w:r>
              <w:rPr>
                <w:b/>
                <w:i w:val="0"/>
                <w:color w:val="009C9C"/>
                <w:sz w:val="16"/>
              </w:rPr>
              <w:t>TK-GS</w:t>
            </w:r>
          </w:p>
          <w:p>
            <w:pPr>
              <w:spacing w:after="0"/>
            </w:pPr>
            <w:r>
              <w:rPr>
                <w:b w:val="0"/>
                <w:i/>
                <w:color w:val="5E6270"/>
                <w:sz w:val="18"/>
              </w:rPr>
              <w:t>Redbelly Network was the public permissioned chain selected to underpin Project Acacia.</w:t>
            </w:r>
          </w:p>
          <w:p>
            <w:pPr>
              <w:spacing w:after="80"/>
            </w:pPr>
            <w:r>
              <w:rPr>
                <w:b/>
                <w:i w:val="0"/>
                <w:color w:val="009C9C"/>
                <w:sz w:val="16"/>
              </w:rPr>
              <w:t>TK-WHY</w:t>
            </w:r>
          </w:p>
        </w:tc>
        <w:tc>
          <w:tcPr>
            <w:tcW w:type="dxa" w:w="2494"/>
          </w:tcPr>
          <w:p>
            <w:r/>
            <w:r>
              <w:rPr>
                <w:sz w:val="19"/>
              </w:rPr>
              <w:t>Combines two Tokeniser statements: Redbelly is the network chosen by Australia's central bank for its digital currency project, and it was selected to underpin Project Acacia.</w:t>
            </w:r>
          </w:p>
        </w:tc>
      </w:tr>
      <w:tr>
        <w:tc>
          <w:tcPr>
            <w:tcW w:type="dxa" w:w="850"/>
          </w:tcPr>
          <w:p>
            <w:r/>
            <w:r>
              <w:rPr>
                <w:sz w:val="19"/>
              </w:rPr>
              <w:t>L18</w:t>
            </w:r>
          </w:p>
        </w:tc>
        <w:tc>
          <w:tcPr>
            <w:tcW w:type="dxa" w:w="907"/>
          </w:tcPr>
          <w:p>
            <w:r/>
            <w:r>
              <w:rPr>
                <w:sz w:val="19"/>
              </w:rPr>
              <w:t>1:18.4</w:t>
            </w:r>
          </w:p>
        </w:tc>
        <w:tc>
          <w:tcPr>
            <w:tcW w:type="dxa" w:w="3969"/>
          </w:tcPr>
          <w:p>
            <w:r/>
            <w:r>
              <w:rPr>
                <w:sz w:val="19"/>
              </w:rPr>
              <w:t>Same fund. Same strategy. Same licence.</w:t>
            </w:r>
          </w:p>
        </w:tc>
        <w:tc>
          <w:tcPr>
            <w:tcW w:type="dxa" w:w="6803"/>
          </w:tcPr>
          <w:p>
            <w:r/>
          </w:p>
          <w:p>
            <w:pPr>
              <w:spacing w:after="0"/>
            </w:pPr>
            <w:r>
              <w:rPr>
                <w:b w:val="0"/>
                <w:i/>
                <w:color w:val="5E6270"/>
                <w:sz w:val="18"/>
              </w:rPr>
              <w:t>Two funds can hold the same underlying assets, follow the same investment strategy and generate the same investment return. The difference is what the infrastructure around the fund allows the manager and investors to do.</w:t>
            </w:r>
          </w:p>
          <w:p>
            <w:pPr>
              <w:spacing w:after="80"/>
            </w:pPr>
            <w:r>
              <w:rPr>
                <w:b/>
                <w:i w:val="0"/>
                <w:color w:val="009C9C"/>
                <w:sz w:val="16"/>
              </w:rPr>
              <w:t>TK-FUNDS</w:t>
            </w:r>
          </w:p>
          <w:p>
            <w:pPr>
              <w:spacing w:after="0"/>
            </w:pPr>
            <w:r>
              <w:rPr>
                <w:b w:val="0"/>
                <w:i/>
                <w:color w:val="5E6270"/>
                <w:sz w:val="18"/>
              </w:rPr>
              <w:t>There is no separate tokenisation licence required in Australia. The fund manager's existing AFSL (or their reliance on an AFSL holder) covers the issuance of tokenised fund interests in the same way it covers traditional interests.</w:t>
            </w:r>
          </w:p>
          <w:p>
            <w:pPr>
              <w:spacing w:after="80"/>
            </w:pPr>
            <w:r>
              <w:rPr>
                <w:b/>
                <w:i w:val="0"/>
                <w:color w:val="009C9C"/>
                <w:sz w:val="16"/>
              </w:rPr>
              <w:t>KH-FUND</w:t>
            </w:r>
          </w:p>
        </w:tc>
        <w:tc>
          <w:tcPr>
            <w:tcW w:type="dxa" w:w="2494"/>
          </w:tcPr>
          <w:p>
            <w:r/>
            <w:r>
              <w:rPr>
                <w:sz w:val="19"/>
              </w:rPr>
            </w:r>
          </w:p>
        </w:tc>
      </w:tr>
      <w:tr>
        <w:tc>
          <w:tcPr>
            <w:tcW w:type="dxa" w:w="850"/>
          </w:tcPr>
          <w:p>
            <w:r/>
            <w:r>
              <w:rPr>
                <w:sz w:val="19"/>
              </w:rPr>
              <w:t>L19</w:t>
            </w:r>
          </w:p>
        </w:tc>
        <w:tc>
          <w:tcPr>
            <w:tcW w:type="dxa" w:w="907"/>
          </w:tcPr>
          <w:p>
            <w:r/>
            <w:r>
              <w:rPr>
                <w:sz w:val="19"/>
              </w:rPr>
              <w:t>1:21.1</w:t>
            </w:r>
          </w:p>
        </w:tc>
        <w:tc>
          <w:tcPr>
            <w:tcW w:type="dxa" w:w="3969"/>
          </w:tcPr>
          <w:p>
            <w:r/>
            <w:r>
              <w:rPr>
                <w:sz w:val="19"/>
              </w:rPr>
              <w:t>Now its units are compliant tokens on Redbelly, through Tokeniser.</w:t>
            </w:r>
          </w:p>
        </w:tc>
        <w:tc>
          <w:tcPr>
            <w:tcW w:type="dxa" w:w="6803"/>
          </w:tcPr>
          <w:p>
            <w:r/>
          </w:p>
          <w:p>
            <w:pPr>
              <w:spacing w:after="0"/>
            </w:pPr>
            <w:r>
              <w:rPr>
                <w:b w:val="0"/>
                <w:i/>
                <w:color w:val="5E6270"/>
                <w:sz w:val="18"/>
              </w:rPr>
              <w:t>Tokeniser Pty. Ltd. is an Australian company providing compliant asset tokenisation and management solutions.</w:t>
            </w:r>
          </w:p>
          <w:p>
            <w:pPr>
              <w:spacing w:after="80"/>
            </w:pPr>
            <w:r>
              <w:rPr>
                <w:b/>
                <w:i w:val="0"/>
                <w:color w:val="009C9C"/>
                <w:sz w:val="16"/>
              </w:rPr>
              <w:t>TK-HOME</w:t>
            </w:r>
          </w:p>
          <w:p>
            <w:pPr>
              <w:spacing w:after="0"/>
            </w:pPr>
            <w:r>
              <w:rPr>
                <w:b w:val="0"/>
                <w:i/>
                <w:color w:val="5E6270"/>
                <w:sz w:val="18"/>
              </w:rPr>
              <w:t>Tokeniser works by representing ownership interests in regulated financial assets as digital tokens on Redbelly Network</w:t>
            </w:r>
          </w:p>
          <w:p>
            <w:pPr>
              <w:spacing w:after="80"/>
            </w:pPr>
            <w:r>
              <w:rPr>
                <w:b/>
                <w:i w:val="0"/>
                <w:color w:val="009C9C"/>
                <w:sz w:val="16"/>
              </w:rPr>
              <w:t>KH-WORK</w:t>
            </w:r>
          </w:p>
        </w:tc>
        <w:tc>
          <w:tcPr>
            <w:tcW w:type="dxa" w:w="2494"/>
          </w:tcPr>
          <w:p>
            <w:r/>
            <w:r>
              <w:rPr>
                <w:sz w:val="19"/>
              </w:rPr>
            </w:r>
          </w:p>
        </w:tc>
      </w:tr>
    </w:tbl>
    <w:p>
      <w:pPr>
        <w:spacing w:after="80" w:before="280"/>
      </w:pPr>
      <w:r>
        <w:rPr>
          <w:b w:val="0"/>
          <w:i w:val="0"/>
          <w:color w:val="343740"/>
          <w:sz w:val="30"/>
        </w:rPr>
        <w:t>Fact check: on screen labels</w:t>
      </w:r>
    </w:p>
    <w:tbl>
      <w:tblPr>
        <w:tblStyle w:val="TableGrid"/>
        <w:tblW w:type="auto" w:w="0"/>
        <w:jc w:val="left"/>
        <w:tblLook w:firstColumn="1" w:firstRow="1" w:lastColumn="0" w:lastRow="0" w:noHBand="0" w:noVBand="1" w:val="04A0"/>
      </w:tblPr>
      <w:tblGrid>
        <w:gridCol w:w="5008"/>
        <w:gridCol w:w="5008"/>
        <w:gridCol w:w="5008"/>
      </w:tblGrid>
      <w:tr>
        <w:tc>
          <w:tcPr>
            <w:tcW w:type="dxa" w:w="1417"/>
            <w:shd w:val="clear" w:color="auto" w:fill="F2F2F2"/>
          </w:tcPr>
          <w:p>
            <w:r/>
          </w:p>
          <w:p>
            <w:pPr>
              <w:spacing w:after="0"/>
            </w:pPr>
            <w:r>
              <w:rPr>
                <w:b/>
                <w:i w:val="0"/>
                <w:color w:val="5E6270"/>
                <w:sz w:val="16"/>
              </w:rPr>
              <w:t>SCENE</w:t>
            </w:r>
          </w:p>
        </w:tc>
        <w:tc>
          <w:tcPr>
            <w:tcW w:type="dxa" w:w="7937"/>
            <w:shd w:val="clear" w:color="auto" w:fill="F2F2F2"/>
          </w:tcPr>
          <w:p>
            <w:r/>
          </w:p>
          <w:p>
            <w:pPr>
              <w:spacing w:after="0"/>
            </w:pPr>
            <w:r>
              <w:rPr>
                <w:b/>
                <w:i w:val="0"/>
                <w:color w:val="5E6270"/>
                <w:sz w:val="16"/>
              </w:rPr>
              <w:t>LABEL</w:t>
            </w:r>
          </w:p>
        </w:tc>
        <w:tc>
          <w:tcPr>
            <w:tcW w:type="dxa" w:w="5669"/>
            <w:shd w:val="clear" w:color="auto" w:fill="F2F2F2"/>
          </w:tcPr>
          <w:p>
            <w:r/>
          </w:p>
          <w:p>
            <w:pPr>
              <w:spacing w:after="0"/>
            </w:pPr>
            <w:r>
              <w:rPr>
                <w:b/>
                <w:i w:val="0"/>
                <w:color w:val="5E6270"/>
                <w:sz w:val="16"/>
              </w:rPr>
              <w:t>SOURCES</w:t>
            </w:r>
          </w:p>
        </w:tc>
      </w:tr>
      <w:tr>
        <w:tc>
          <w:tcPr>
            <w:tcW w:type="dxa" w:w="1417"/>
          </w:tcPr>
          <w:p>
            <w:r/>
            <w:r>
              <w:rPr>
                <w:sz w:val="19"/>
              </w:rPr>
              <w:t>S01</w:t>
            </w:r>
          </w:p>
        </w:tc>
        <w:tc>
          <w:tcPr>
            <w:tcW w:type="dxa" w:w="7937"/>
          </w:tcPr>
          <w:p>
            <w:r/>
            <w:r>
              <w:rPr>
                <w:sz w:val="19"/>
              </w:rPr>
              <w:t>How does it become a token on Redbelly?</w:t>
            </w:r>
          </w:p>
        </w:tc>
        <w:tc>
          <w:tcPr>
            <w:tcW w:type="dxa" w:w="5669"/>
          </w:tcPr>
          <w:p>
            <w:r/>
            <w:r>
              <w:rPr>
                <w:sz w:val="19"/>
              </w:rPr>
              <w:t>TK-HOME</w:t>
            </w:r>
          </w:p>
        </w:tc>
      </w:tr>
      <w:tr>
        <w:tc>
          <w:tcPr>
            <w:tcW w:type="dxa" w:w="1417"/>
          </w:tcPr>
          <w:p>
            <w:r/>
            <w:r>
              <w:rPr>
                <w:sz w:val="19"/>
              </w:rPr>
              <w:t>S01</w:t>
            </w:r>
          </w:p>
        </w:tc>
        <w:tc>
          <w:tcPr>
            <w:tcW w:type="dxa" w:w="7937"/>
          </w:tcPr>
          <w:p>
            <w:r/>
            <w:r>
              <w:rPr>
                <w:sz w:val="19"/>
              </w:rPr>
              <w:t>Wholesale fund</w:t>
            </w:r>
          </w:p>
        </w:tc>
        <w:tc>
          <w:tcPr>
            <w:tcW w:type="dxa" w:w="5669"/>
          </w:tcPr>
          <w:p>
            <w:r/>
            <w:r>
              <w:rPr>
                <w:sz w:val="19"/>
              </w:rPr>
              <w:t>KH-FUND</w:t>
            </w:r>
          </w:p>
        </w:tc>
      </w:tr>
      <w:tr>
        <w:tc>
          <w:tcPr>
            <w:tcW w:type="dxa" w:w="1417"/>
          </w:tcPr>
          <w:p>
            <w:r/>
            <w:r>
              <w:rPr>
                <w:sz w:val="19"/>
              </w:rPr>
              <w:t>S01</w:t>
            </w:r>
          </w:p>
        </w:tc>
        <w:tc>
          <w:tcPr>
            <w:tcW w:type="dxa" w:w="7937"/>
          </w:tcPr>
          <w:p>
            <w:r/>
            <w:r>
              <w:rPr>
                <w:sz w:val="19"/>
              </w:rPr>
              <w:t>Unit trust</w:t>
            </w:r>
          </w:p>
        </w:tc>
        <w:tc>
          <w:tcPr>
            <w:tcW w:type="dxa" w:w="5669"/>
          </w:tcPr>
          <w:p>
            <w:r/>
            <w:r>
              <w:rPr>
                <w:sz w:val="19"/>
              </w:rPr>
              <w:t>KH-FUND</w:t>
            </w:r>
          </w:p>
        </w:tc>
      </w:tr>
      <w:tr>
        <w:tc>
          <w:tcPr>
            <w:tcW w:type="dxa" w:w="1417"/>
          </w:tcPr>
          <w:p>
            <w:r/>
            <w:r>
              <w:rPr>
                <w:sz w:val="19"/>
              </w:rPr>
              <w:t>S02</w:t>
            </w:r>
          </w:p>
        </w:tc>
        <w:tc>
          <w:tcPr>
            <w:tcW w:type="dxa" w:w="7937"/>
          </w:tcPr>
          <w:p>
            <w:r/>
            <w:r>
              <w:rPr>
                <w:sz w:val="19"/>
              </w:rPr>
              <w:t>Registry</w:t>
            </w:r>
          </w:p>
        </w:tc>
        <w:tc>
          <w:tcPr>
            <w:tcW w:type="dxa" w:w="5669"/>
          </w:tcPr>
          <w:p>
            <w:r/>
            <w:r>
              <w:rPr>
                <w:sz w:val="19"/>
              </w:rPr>
              <w:t>TK-RTT</w:t>
            </w:r>
          </w:p>
        </w:tc>
      </w:tr>
      <w:tr>
        <w:tc>
          <w:tcPr>
            <w:tcW w:type="dxa" w:w="1417"/>
          </w:tcPr>
          <w:p>
            <w:r/>
            <w:r>
              <w:rPr>
                <w:sz w:val="19"/>
              </w:rPr>
              <w:t>S02</w:t>
            </w:r>
          </w:p>
        </w:tc>
        <w:tc>
          <w:tcPr>
            <w:tcW w:type="dxa" w:w="7937"/>
          </w:tcPr>
          <w:p>
            <w:r/>
            <w:r>
              <w:rPr>
                <w:sz w:val="19"/>
              </w:rPr>
              <w:t>Spreadsheets</w:t>
            </w:r>
          </w:p>
        </w:tc>
        <w:tc>
          <w:tcPr>
            <w:tcW w:type="dxa" w:w="5669"/>
          </w:tcPr>
          <w:p>
            <w:r/>
            <w:r>
              <w:rPr>
                <w:sz w:val="19"/>
              </w:rPr>
              <w:t>TK-AC</w:t>
            </w:r>
          </w:p>
        </w:tc>
      </w:tr>
      <w:tr>
        <w:tc>
          <w:tcPr>
            <w:tcW w:type="dxa" w:w="1417"/>
          </w:tcPr>
          <w:p>
            <w:r/>
            <w:r>
              <w:rPr>
                <w:sz w:val="19"/>
              </w:rPr>
              <w:t>S02</w:t>
            </w:r>
          </w:p>
        </w:tc>
        <w:tc>
          <w:tcPr>
            <w:tcW w:type="dxa" w:w="7937"/>
          </w:tcPr>
          <w:p>
            <w:r/>
            <w:r>
              <w:rPr>
                <w:sz w:val="19"/>
              </w:rPr>
              <w:t>Emails</w:t>
            </w:r>
          </w:p>
        </w:tc>
        <w:tc>
          <w:tcPr>
            <w:tcW w:type="dxa" w:w="5669"/>
          </w:tcPr>
          <w:p>
            <w:r/>
            <w:r>
              <w:rPr>
                <w:sz w:val="19"/>
              </w:rPr>
              <w:t>TK-AC</w:t>
            </w:r>
          </w:p>
        </w:tc>
      </w:tr>
      <w:tr>
        <w:tc>
          <w:tcPr>
            <w:tcW w:type="dxa" w:w="1417"/>
          </w:tcPr>
          <w:p>
            <w:r/>
            <w:r>
              <w:rPr>
                <w:sz w:val="19"/>
              </w:rPr>
              <w:t>S02</w:t>
            </w:r>
          </w:p>
        </w:tc>
        <w:tc>
          <w:tcPr>
            <w:tcW w:type="dxa" w:w="7937"/>
          </w:tcPr>
          <w:p>
            <w:r/>
            <w:r>
              <w:rPr>
                <w:sz w:val="19"/>
              </w:rPr>
              <w:t>Manual checks</w:t>
            </w:r>
          </w:p>
        </w:tc>
        <w:tc>
          <w:tcPr>
            <w:tcW w:type="dxa" w:w="5669"/>
          </w:tcPr>
          <w:p>
            <w:r/>
            <w:r>
              <w:rPr>
                <w:sz w:val="19"/>
              </w:rPr>
              <w:t>TK-AC</w:t>
            </w:r>
          </w:p>
        </w:tc>
      </w:tr>
      <w:tr>
        <w:tc>
          <w:tcPr>
            <w:tcW w:type="dxa" w:w="1417"/>
          </w:tcPr>
          <w:p>
            <w:r/>
            <w:r>
              <w:rPr>
                <w:sz w:val="19"/>
              </w:rPr>
              <w:t>S02</w:t>
            </w:r>
          </w:p>
        </w:tc>
        <w:tc>
          <w:tcPr>
            <w:tcW w:type="dxa" w:w="7937"/>
          </w:tcPr>
          <w:p>
            <w:r/>
            <w:r>
              <w:rPr>
                <w:sz w:val="19"/>
              </w:rPr>
              <w:t>Settlement: two business days or longer</w:t>
            </w:r>
          </w:p>
        </w:tc>
        <w:tc>
          <w:tcPr>
            <w:tcW w:type="dxa" w:w="5669"/>
          </w:tcPr>
          <w:p>
            <w:r/>
            <w:r>
              <w:rPr>
                <w:sz w:val="19"/>
              </w:rPr>
              <w:t>TK-IS</w:t>
            </w:r>
          </w:p>
        </w:tc>
      </w:tr>
      <w:tr>
        <w:tc>
          <w:tcPr>
            <w:tcW w:type="dxa" w:w="1417"/>
          </w:tcPr>
          <w:p>
            <w:r/>
            <w:r>
              <w:rPr>
                <w:sz w:val="19"/>
              </w:rPr>
              <w:t>S03</w:t>
            </w:r>
          </w:p>
        </w:tc>
        <w:tc>
          <w:tcPr>
            <w:tcW w:type="dxa" w:w="7937"/>
          </w:tcPr>
          <w:p>
            <w:r/>
            <w:r>
              <w:rPr>
                <w:sz w:val="19"/>
              </w:rPr>
              <w:t>Trust deed</w:t>
            </w:r>
          </w:p>
        </w:tc>
        <w:tc>
          <w:tcPr>
            <w:tcW w:type="dxa" w:w="5669"/>
          </w:tcPr>
          <w:p>
            <w:r/>
            <w:r>
              <w:rPr>
                <w:sz w:val="19"/>
              </w:rPr>
              <w:t>KH-FUND</w:t>
            </w:r>
          </w:p>
        </w:tc>
      </w:tr>
      <w:tr>
        <w:tc>
          <w:tcPr>
            <w:tcW w:type="dxa" w:w="1417"/>
          </w:tcPr>
          <w:p>
            <w:r/>
            <w:r>
              <w:rPr>
                <w:sz w:val="19"/>
              </w:rPr>
              <w:t>S03</w:t>
            </w:r>
          </w:p>
        </w:tc>
        <w:tc>
          <w:tcPr>
            <w:tcW w:type="dxa" w:w="7937"/>
          </w:tcPr>
          <w:p>
            <w:r/>
            <w:r>
              <w:rPr>
                <w:sz w:val="19"/>
              </w:rPr>
              <w:t>On-chain ownership records permitted</w:t>
            </w:r>
          </w:p>
        </w:tc>
        <w:tc>
          <w:tcPr>
            <w:tcW w:type="dxa" w:w="5669"/>
          </w:tcPr>
          <w:p>
            <w:r/>
            <w:r>
              <w:rPr>
                <w:sz w:val="19"/>
              </w:rPr>
              <w:t>KH-FUND</w:t>
            </w:r>
          </w:p>
        </w:tc>
      </w:tr>
      <w:tr>
        <w:tc>
          <w:tcPr>
            <w:tcW w:type="dxa" w:w="1417"/>
          </w:tcPr>
          <w:p>
            <w:r/>
            <w:r>
              <w:rPr>
                <w:sz w:val="19"/>
              </w:rPr>
              <w:t>S03</w:t>
            </w:r>
          </w:p>
        </w:tc>
        <w:tc>
          <w:tcPr>
            <w:tcW w:type="dxa" w:w="7937"/>
          </w:tcPr>
          <w:p>
            <w:r/>
            <w:r>
              <w:rPr>
                <w:sz w:val="19"/>
              </w:rPr>
              <w:t>Existing AFSL covers it</w:t>
            </w:r>
          </w:p>
        </w:tc>
        <w:tc>
          <w:tcPr>
            <w:tcW w:type="dxa" w:w="5669"/>
          </w:tcPr>
          <w:p>
            <w:r/>
            <w:r>
              <w:rPr>
                <w:sz w:val="19"/>
              </w:rPr>
              <w:t>KH-FUND</w:t>
            </w:r>
          </w:p>
        </w:tc>
      </w:tr>
      <w:tr>
        <w:tc>
          <w:tcPr>
            <w:tcW w:type="dxa" w:w="1417"/>
          </w:tcPr>
          <w:p>
            <w:r/>
            <w:r>
              <w:rPr>
                <w:sz w:val="19"/>
              </w:rPr>
              <w:t>S03</w:t>
            </w:r>
          </w:p>
        </w:tc>
        <w:tc>
          <w:tcPr>
            <w:tcW w:type="dxa" w:w="7937"/>
          </w:tcPr>
          <w:p>
            <w:r/>
            <w:r>
              <w:rPr>
                <w:sz w:val="19"/>
              </w:rPr>
              <w:t>Covers issuance of tokenised fund interests</w:t>
            </w:r>
          </w:p>
        </w:tc>
        <w:tc>
          <w:tcPr>
            <w:tcW w:type="dxa" w:w="5669"/>
          </w:tcPr>
          <w:p>
            <w:r/>
            <w:r>
              <w:rPr>
                <w:sz w:val="19"/>
              </w:rPr>
              <w:t>KH-FUND</w:t>
            </w:r>
          </w:p>
        </w:tc>
      </w:tr>
      <w:tr>
        <w:tc>
          <w:tcPr>
            <w:tcW w:type="dxa" w:w="1417"/>
          </w:tcPr>
          <w:p>
            <w:r/>
            <w:r>
              <w:rPr>
                <w:sz w:val="19"/>
              </w:rPr>
              <w:t>S03</w:t>
            </w:r>
          </w:p>
        </w:tc>
        <w:tc>
          <w:tcPr>
            <w:tcW w:type="dxa" w:w="7937"/>
          </w:tcPr>
          <w:p>
            <w:r/>
            <w:r>
              <w:rPr>
                <w:sz w:val="19"/>
              </w:rPr>
              <w:t>No separate tokenisation licence</w:t>
            </w:r>
          </w:p>
        </w:tc>
        <w:tc>
          <w:tcPr>
            <w:tcW w:type="dxa" w:w="5669"/>
          </w:tcPr>
          <w:p>
            <w:r/>
            <w:r>
              <w:rPr>
                <w:sz w:val="19"/>
              </w:rPr>
              <w:t>KH-FUND</w:t>
            </w:r>
          </w:p>
        </w:tc>
      </w:tr>
      <w:tr>
        <w:tc>
          <w:tcPr>
            <w:tcW w:type="dxa" w:w="1417"/>
          </w:tcPr>
          <w:p>
            <w:r/>
            <w:r>
              <w:rPr>
                <w:sz w:val="19"/>
              </w:rPr>
              <w:t>S04</w:t>
            </w:r>
          </w:p>
        </w:tc>
        <w:tc>
          <w:tcPr>
            <w:tcW w:type="dxa" w:w="7937"/>
          </w:tcPr>
          <w:p>
            <w:r/>
            <w:r>
              <w:rPr>
                <w:sz w:val="19"/>
              </w:rPr>
              <w:t>Compliance rules</w:t>
            </w:r>
          </w:p>
        </w:tc>
        <w:tc>
          <w:tcPr>
            <w:tcW w:type="dxa" w:w="5669"/>
          </w:tcPr>
          <w:p>
            <w:r/>
            <w:r>
              <w:rPr>
                <w:sz w:val="19"/>
              </w:rPr>
              <w:t>KH-WORK</w:t>
            </w:r>
          </w:p>
        </w:tc>
      </w:tr>
      <w:tr>
        <w:tc>
          <w:tcPr>
            <w:tcW w:type="dxa" w:w="1417"/>
          </w:tcPr>
          <w:p>
            <w:r/>
            <w:r>
              <w:rPr>
                <w:sz w:val="19"/>
              </w:rPr>
              <w:t>S04</w:t>
            </w:r>
          </w:p>
        </w:tc>
        <w:tc>
          <w:tcPr>
            <w:tcW w:type="dxa" w:w="7937"/>
          </w:tcPr>
          <w:p>
            <w:r/>
            <w:r>
              <w:rPr>
                <w:sz w:val="19"/>
              </w:rPr>
              <w:t>Investor eligibility</w:t>
            </w:r>
          </w:p>
        </w:tc>
        <w:tc>
          <w:tcPr>
            <w:tcW w:type="dxa" w:w="5669"/>
          </w:tcPr>
          <w:p>
            <w:r/>
            <w:r>
              <w:rPr>
                <w:sz w:val="19"/>
              </w:rPr>
              <w:t>KH-FUND</w:t>
            </w:r>
          </w:p>
        </w:tc>
      </w:tr>
      <w:tr>
        <w:tc>
          <w:tcPr>
            <w:tcW w:type="dxa" w:w="1417"/>
          </w:tcPr>
          <w:p>
            <w:r/>
            <w:r>
              <w:rPr>
                <w:sz w:val="19"/>
              </w:rPr>
              <w:t>S04</w:t>
            </w:r>
          </w:p>
        </w:tc>
        <w:tc>
          <w:tcPr>
            <w:tcW w:type="dxa" w:w="7937"/>
          </w:tcPr>
          <w:p>
            <w:r/>
            <w:r>
              <w:rPr>
                <w:sz w:val="19"/>
              </w:rPr>
              <w:t>Wholesale</w:t>
            </w:r>
          </w:p>
        </w:tc>
        <w:tc>
          <w:tcPr>
            <w:tcW w:type="dxa" w:w="5669"/>
          </w:tcPr>
          <w:p>
            <w:r/>
            <w:r>
              <w:rPr>
                <w:sz w:val="19"/>
              </w:rPr>
              <w:t>KH-COMP</w:t>
            </w:r>
          </w:p>
        </w:tc>
      </w:tr>
      <w:tr>
        <w:tc>
          <w:tcPr>
            <w:tcW w:type="dxa" w:w="1417"/>
          </w:tcPr>
          <w:p>
            <w:r/>
            <w:r>
              <w:rPr>
                <w:sz w:val="19"/>
              </w:rPr>
              <w:t>S04</w:t>
            </w:r>
          </w:p>
        </w:tc>
        <w:tc>
          <w:tcPr>
            <w:tcW w:type="dxa" w:w="7937"/>
          </w:tcPr>
          <w:p>
            <w:r/>
            <w:r>
              <w:rPr>
                <w:sz w:val="19"/>
              </w:rPr>
              <w:t>Foreign ownership limit</w:t>
            </w:r>
          </w:p>
        </w:tc>
        <w:tc>
          <w:tcPr>
            <w:tcW w:type="dxa" w:w="5669"/>
          </w:tcPr>
          <w:p>
            <w:r/>
            <w:r>
              <w:rPr>
                <w:sz w:val="19"/>
              </w:rPr>
              <w:t>KH-FUND</w:t>
            </w:r>
          </w:p>
        </w:tc>
      </w:tr>
      <w:tr>
        <w:tc>
          <w:tcPr>
            <w:tcW w:type="dxa" w:w="1417"/>
          </w:tcPr>
          <w:p>
            <w:r/>
            <w:r>
              <w:rPr>
                <w:sz w:val="19"/>
              </w:rPr>
              <w:t>S04</w:t>
            </w:r>
          </w:p>
        </w:tc>
        <w:tc>
          <w:tcPr>
            <w:tcW w:type="dxa" w:w="7937"/>
          </w:tcPr>
          <w:p>
            <w:r/>
            <w:r>
              <w:rPr>
                <w:sz w:val="19"/>
              </w:rPr>
              <w:t>Lock-up period</w:t>
            </w:r>
          </w:p>
        </w:tc>
        <w:tc>
          <w:tcPr>
            <w:tcW w:type="dxa" w:w="5669"/>
          </w:tcPr>
          <w:p>
            <w:r/>
            <w:r>
              <w:rPr>
                <w:sz w:val="19"/>
              </w:rPr>
              <w:t>KH-COMP</w:t>
            </w:r>
          </w:p>
        </w:tc>
      </w:tr>
      <w:tr>
        <w:tc>
          <w:tcPr>
            <w:tcW w:type="dxa" w:w="1417"/>
          </w:tcPr>
          <w:p>
            <w:r/>
            <w:r>
              <w:rPr>
                <w:sz w:val="19"/>
              </w:rPr>
              <w:t>S04</w:t>
            </w:r>
          </w:p>
        </w:tc>
        <w:tc>
          <w:tcPr>
            <w:tcW w:type="dxa" w:w="7937"/>
          </w:tcPr>
          <w:p>
            <w:r/>
            <w:r>
              <w:rPr>
                <w:sz w:val="19"/>
              </w:rPr>
              <w:t>Rules written into the token</w:t>
            </w:r>
          </w:p>
        </w:tc>
        <w:tc>
          <w:tcPr>
            <w:tcW w:type="dxa" w:w="5669"/>
          </w:tcPr>
          <w:p>
            <w:r/>
            <w:r>
              <w:rPr>
                <w:sz w:val="19"/>
              </w:rPr>
              <w:t>KH-WORK</w:t>
            </w:r>
          </w:p>
        </w:tc>
      </w:tr>
      <w:tr>
        <w:tc>
          <w:tcPr>
            <w:tcW w:type="dxa" w:w="1417"/>
          </w:tcPr>
          <w:p>
            <w:r/>
            <w:r>
              <w:rPr>
                <w:sz w:val="19"/>
              </w:rPr>
              <w:t>S05</w:t>
            </w:r>
          </w:p>
        </w:tc>
        <w:tc>
          <w:tcPr>
            <w:tcW w:type="dxa" w:w="7937"/>
          </w:tcPr>
          <w:p>
            <w:r/>
            <w:r>
              <w:rPr>
                <w:sz w:val="19"/>
              </w:rPr>
              <w:t>Digital onboarding</w:t>
            </w:r>
          </w:p>
        </w:tc>
        <w:tc>
          <w:tcPr>
            <w:tcW w:type="dxa" w:w="5669"/>
          </w:tcPr>
          <w:p>
            <w:r/>
            <w:r>
              <w:rPr>
                <w:sz w:val="19"/>
              </w:rPr>
              <w:t>KH-FUND</w:t>
            </w:r>
          </w:p>
        </w:tc>
      </w:tr>
      <w:tr>
        <w:tc>
          <w:tcPr>
            <w:tcW w:type="dxa" w:w="1417"/>
          </w:tcPr>
          <w:p>
            <w:r/>
            <w:r>
              <w:rPr>
                <w:sz w:val="19"/>
              </w:rPr>
              <w:t>S05</w:t>
            </w:r>
          </w:p>
        </w:tc>
        <w:tc>
          <w:tcPr>
            <w:tcW w:type="dxa" w:w="7937"/>
          </w:tcPr>
          <w:p>
            <w:r/>
            <w:r>
              <w:rPr>
                <w:sz w:val="19"/>
              </w:rPr>
              <w:t>Identity</w:t>
            </w:r>
          </w:p>
        </w:tc>
        <w:tc>
          <w:tcPr>
            <w:tcW w:type="dxa" w:w="5669"/>
          </w:tcPr>
          <w:p>
            <w:r/>
            <w:r>
              <w:rPr>
                <w:sz w:val="19"/>
              </w:rPr>
              <w:t>KH-COMP</w:t>
            </w:r>
          </w:p>
        </w:tc>
      </w:tr>
      <w:tr>
        <w:tc>
          <w:tcPr>
            <w:tcW w:type="dxa" w:w="1417"/>
          </w:tcPr>
          <w:p>
            <w:r/>
            <w:r>
              <w:rPr>
                <w:sz w:val="19"/>
              </w:rPr>
              <w:t>S05</w:t>
            </w:r>
          </w:p>
        </w:tc>
        <w:tc>
          <w:tcPr>
            <w:tcW w:type="dxa" w:w="7937"/>
          </w:tcPr>
          <w:p>
            <w:r/>
            <w:r>
              <w:rPr>
                <w:sz w:val="19"/>
              </w:rPr>
              <w:t>AML screening</w:t>
            </w:r>
          </w:p>
        </w:tc>
        <w:tc>
          <w:tcPr>
            <w:tcW w:type="dxa" w:w="5669"/>
          </w:tcPr>
          <w:p>
            <w:r/>
            <w:r>
              <w:rPr>
                <w:sz w:val="19"/>
              </w:rPr>
              <w:t>KH-COMP</w:t>
            </w:r>
          </w:p>
        </w:tc>
      </w:tr>
      <w:tr>
        <w:tc>
          <w:tcPr>
            <w:tcW w:type="dxa" w:w="1417"/>
          </w:tcPr>
          <w:p>
            <w:r/>
            <w:r>
              <w:rPr>
                <w:sz w:val="19"/>
              </w:rPr>
              <w:t>S05</w:t>
            </w:r>
          </w:p>
        </w:tc>
        <w:tc>
          <w:tcPr>
            <w:tcW w:type="dxa" w:w="7937"/>
          </w:tcPr>
          <w:p>
            <w:r/>
            <w:r>
              <w:rPr>
                <w:sz w:val="19"/>
              </w:rPr>
              <w:t>Investor classification</w:t>
            </w:r>
          </w:p>
        </w:tc>
        <w:tc>
          <w:tcPr>
            <w:tcW w:type="dxa" w:w="5669"/>
          </w:tcPr>
          <w:p>
            <w:r/>
            <w:r>
              <w:rPr>
                <w:sz w:val="19"/>
              </w:rPr>
              <w:t>KH-COMP</w:t>
            </w:r>
          </w:p>
        </w:tc>
      </w:tr>
      <w:tr>
        <w:tc>
          <w:tcPr>
            <w:tcW w:type="dxa" w:w="1417"/>
          </w:tcPr>
          <w:p>
            <w:r/>
            <w:r>
              <w:rPr>
                <w:sz w:val="19"/>
              </w:rPr>
              <w:t>S05</w:t>
            </w:r>
          </w:p>
        </w:tc>
        <w:tc>
          <w:tcPr>
            <w:tcW w:type="dxa" w:w="7937"/>
          </w:tcPr>
          <w:p>
            <w:r/>
            <w:r>
              <w:rPr>
                <w:sz w:val="19"/>
              </w:rPr>
              <w:t>Blocked</w:t>
            </w:r>
          </w:p>
        </w:tc>
        <w:tc>
          <w:tcPr>
            <w:tcW w:type="dxa" w:w="5669"/>
          </w:tcPr>
          <w:p>
            <w:r/>
            <w:r>
              <w:rPr>
                <w:sz w:val="19"/>
              </w:rPr>
              <w:t>KH-COMP</w:t>
            </w:r>
          </w:p>
        </w:tc>
      </w:tr>
      <w:tr>
        <w:tc>
          <w:tcPr>
            <w:tcW w:type="dxa" w:w="1417"/>
          </w:tcPr>
          <w:p>
            <w:r/>
            <w:r>
              <w:rPr>
                <w:sz w:val="19"/>
              </w:rPr>
              <w:t>S06</w:t>
            </w:r>
          </w:p>
        </w:tc>
        <w:tc>
          <w:tcPr>
            <w:tcW w:type="dxa" w:w="7937"/>
          </w:tcPr>
          <w:p>
            <w:r/>
            <w:r>
              <w:rPr>
                <w:sz w:val="19"/>
              </w:rPr>
              <w:t>Issue tokens</w:t>
            </w:r>
          </w:p>
        </w:tc>
        <w:tc>
          <w:tcPr>
            <w:tcW w:type="dxa" w:w="5669"/>
          </w:tcPr>
          <w:p>
            <w:r/>
            <w:r>
              <w:rPr>
                <w:sz w:val="19"/>
              </w:rPr>
              <w:t>KH-WORK</w:t>
            </w:r>
          </w:p>
        </w:tc>
      </w:tr>
      <w:tr>
        <w:tc>
          <w:tcPr>
            <w:tcW w:type="dxa" w:w="1417"/>
          </w:tcPr>
          <w:p>
            <w:r/>
            <w:r>
              <w:rPr>
                <w:sz w:val="19"/>
              </w:rPr>
              <w:t>S06</w:t>
            </w:r>
          </w:p>
        </w:tc>
        <w:tc>
          <w:tcPr>
            <w:tcW w:type="dxa" w:w="7937"/>
          </w:tcPr>
          <w:p>
            <w:r/>
            <w:r>
              <w:rPr>
                <w:sz w:val="19"/>
              </w:rPr>
              <w:t>Redbelly Network</w:t>
            </w:r>
          </w:p>
        </w:tc>
        <w:tc>
          <w:tcPr>
            <w:tcW w:type="dxa" w:w="5669"/>
          </w:tcPr>
          <w:p>
            <w:r/>
            <w:r>
              <w:rPr>
                <w:sz w:val="19"/>
              </w:rPr>
              <w:t>KH-WORK</w:t>
            </w:r>
          </w:p>
        </w:tc>
      </w:tr>
      <w:tr>
        <w:tc>
          <w:tcPr>
            <w:tcW w:type="dxa" w:w="1417"/>
          </w:tcPr>
          <w:p>
            <w:r/>
            <w:r>
              <w:rPr>
                <w:sz w:val="19"/>
              </w:rPr>
              <w:t>S06</w:t>
            </w:r>
          </w:p>
        </w:tc>
        <w:tc>
          <w:tcPr>
            <w:tcW w:type="dxa" w:w="7937"/>
          </w:tcPr>
          <w:p>
            <w:r/>
            <w:r>
              <w:rPr>
                <w:sz w:val="19"/>
              </w:rPr>
              <w:t>Verified</w:t>
            </w:r>
          </w:p>
        </w:tc>
        <w:tc>
          <w:tcPr>
            <w:tcW w:type="dxa" w:w="5669"/>
          </w:tcPr>
          <w:p>
            <w:r/>
            <w:r>
              <w:rPr>
                <w:sz w:val="19"/>
              </w:rPr>
              <w:t>KH-WORK</w:t>
            </w:r>
          </w:p>
        </w:tc>
      </w:tr>
      <w:tr>
        <w:tc>
          <w:tcPr>
            <w:tcW w:type="dxa" w:w="1417"/>
          </w:tcPr>
          <w:p>
            <w:r/>
            <w:r>
              <w:rPr>
                <w:sz w:val="19"/>
              </w:rPr>
              <w:t>S06</w:t>
            </w:r>
          </w:p>
        </w:tc>
        <w:tc>
          <w:tcPr>
            <w:tcW w:type="dxa" w:w="7937"/>
          </w:tcPr>
          <w:p>
            <w:r/>
            <w:r>
              <w:rPr>
                <w:sz w:val="19"/>
              </w:rPr>
              <w:t>Live</w:t>
            </w:r>
          </w:p>
        </w:tc>
        <w:tc>
          <w:tcPr>
            <w:tcW w:type="dxa" w:w="5669"/>
          </w:tcPr>
          <w:p>
            <w:r/>
            <w:r>
              <w:rPr>
                <w:sz w:val="19"/>
              </w:rPr>
              <w:t>KH-WORK</w:t>
            </w:r>
          </w:p>
        </w:tc>
      </w:tr>
      <w:tr>
        <w:tc>
          <w:tcPr>
            <w:tcW w:type="dxa" w:w="1417"/>
          </w:tcPr>
          <w:p>
            <w:r/>
            <w:r>
              <w:rPr>
                <w:sz w:val="19"/>
              </w:rPr>
              <w:t>S07</w:t>
            </w:r>
          </w:p>
        </w:tc>
        <w:tc>
          <w:tcPr>
            <w:tcW w:type="dxa" w:w="7937"/>
          </w:tcPr>
          <w:p>
            <w:r/>
            <w:r>
              <w:rPr>
                <w:sz w:val="19"/>
              </w:rPr>
              <w:t>Rule check</w:t>
            </w:r>
          </w:p>
        </w:tc>
        <w:tc>
          <w:tcPr>
            <w:tcW w:type="dxa" w:w="5669"/>
          </w:tcPr>
          <w:p>
            <w:r/>
            <w:r>
              <w:rPr>
                <w:sz w:val="19"/>
              </w:rPr>
              <w:t>KH-WORK</w:t>
            </w:r>
          </w:p>
        </w:tc>
      </w:tr>
      <w:tr>
        <w:tc>
          <w:tcPr>
            <w:tcW w:type="dxa" w:w="1417"/>
          </w:tcPr>
          <w:p>
            <w:r/>
            <w:r>
              <w:rPr>
                <w:sz w:val="19"/>
              </w:rPr>
              <w:t>S07</w:t>
            </w:r>
          </w:p>
        </w:tc>
        <w:tc>
          <w:tcPr>
            <w:tcW w:type="dxa" w:w="7937"/>
          </w:tcPr>
          <w:p>
            <w:r/>
            <w:r>
              <w:rPr>
                <w:sz w:val="19"/>
              </w:rPr>
              <w:t>Rejected: not eligible</w:t>
            </w:r>
          </w:p>
        </w:tc>
        <w:tc>
          <w:tcPr>
            <w:tcW w:type="dxa" w:w="5669"/>
          </w:tcPr>
          <w:p>
            <w:r/>
            <w:r>
              <w:rPr>
                <w:sz w:val="19"/>
              </w:rPr>
              <w:t>KH-WORK</w:t>
            </w:r>
          </w:p>
        </w:tc>
      </w:tr>
      <w:tr>
        <w:tc>
          <w:tcPr>
            <w:tcW w:type="dxa" w:w="1417"/>
          </w:tcPr>
          <w:p>
            <w:r/>
            <w:r>
              <w:rPr>
                <w:sz w:val="19"/>
              </w:rPr>
              <w:t>S07</w:t>
            </w:r>
          </w:p>
        </w:tc>
        <w:tc>
          <w:tcPr>
            <w:tcW w:type="dxa" w:w="7937"/>
          </w:tcPr>
          <w:p>
            <w:r/>
            <w:r>
              <w:rPr>
                <w:sz w:val="19"/>
              </w:rPr>
              <w:t>Settled in seconds</w:t>
            </w:r>
          </w:p>
        </w:tc>
        <w:tc>
          <w:tcPr>
            <w:tcW w:type="dxa" w:w="5669"/>
          </w:tcPr>
          <w:p>
            <w:r/>
            <w:r>
              <w:rPr>
                <w:sz w:val="19"/>
              </w:rPr>
              <w:t>KH-WORK</w:t>
            </w:r>
          </w:p>
        </w:tc>
      </w:tr>
      <w:tr>
        <w:tc>
          <w:tcPr>
            <w:tcW w:type="dxa" w:w="1417"/>
          </w:tcPr>
          <w:p>
            <w:r/>
            <w:r>
              <w:rPr>
                <w:sz w:val="19"/>
              </w:rPr>
              <w:t>S07</w:t>
            </w:r>
          </w:p>
        </w:tc>
        <w:tc>
          <w:tcPr>
            <w:tcW w:type="dxa" w:w="7937"/>
          </w:tcPr>
          <w:p>
            <w:r/>
            <w:r>
              <w:rPr>
                <w:sz w:val="19"/>
              </w:rPr>
              <w:t>Register updated</w:t>
            </w:r>
          </w:p>
        </w:tc>
        <w:tc>
          <w:tcPr>
            <w:tcW w:type="dxa" w:w="5669"/>
          </w:tcPr>
          <w:p>
            <w:r/>
            <w:r>
              <w:rPr>
                <w:sz w:val="19"/>
              </w:rPr>
              <w:t>TK-IS</w:t>
            </w:r>
          </w:p>
        </w:tc>
      </w:tr>
      <w:tr>
        <w:tc>
          <w:tcPr>
            <w:tcW w:type="dxa" w:w="1417"/>
          </w:tcPr>
          <w:p>
            <w:r/>
            <w:r>
              <w:rPr>
                <w:sz w:val="19"/>
              </w:rPr>
              <w:t>S08</w:t>
            </w:r>
          </w:p>
        </w:tc>
        <w:tc>
          <w:tcPr>
            <w:tcW w:type="dxa" w:w="7937"/>
          </w:tcPr>
          <w:p>
            <w:r/>
            <w:r>
              <w:rPr>
                <w:sz w:val="19"/>
              </w:rPr>
              <w:t>Issue</w:t>
            </w:r>
          </w:p>
        </w:tc>
        <w:tc>
          <w:tcPr>
            <w:tcW w:type="dxa" w:w="5669"/>
          </w:tcPr>
          <w:p>
            <w:r/>
            <w:r>
              <w:rPr>
                <w:sz w:val="19"/>
              </w:rPr>
              <w:t>TK-TECH</w:t>
            </w:r>
          </w:p>
        </w:tc>
      </w:tr>
      <w:tr>
        <w:tc>
          <w:tcPr>
            <w:tcW w:type="dxa" w:w="1417"/>
          </w:tcPr>
          <w:p>
            <w:r/>
            <w:r>
              <w:rPr>
                <w:sz w:val="19"/>
              </w:rPr>
              <w:t>S08</w:t>
            </w:r>
          </w:p>
        </w:tc>
        <w:tc>
          <w:tcPr>
            <w:tcW w:type="dxa" w:w="7937"/>
          </w:tcPr>
          <w:p>
            <w:r/>
            <w:r>
              <w:rPr>
                <w:sz w:val="19"/>
              </w:rPr>
              <w:t>Settle</w:t>
            </w:r>
          </w:p>
        </w:tc>
        <w:tc>
          <w:tcPr>
            <w:tcW w:type="dxa" w:w="5669"/>
          </w:tcPr>
          <w:p>
            <w:r/>
            <w:r>
              <w:rPr>
                <w:sz w:val="19"/>
              </w:rPr>
              <w:t>TK-TECH</w:t>
            </w:r>
          </w:p>
        </w:tc>
      </w:tr>
      <w:tr>
        <w:tc>
          <w:tcPr>
            <w:tcW w:type="dxa" w:w="1417"/>
          </w:tcPr>
          <w:p>
            <w:r/>
            <w:r>
              <w:rPr>
                <w:sz w:val="19"/>
              </w:rPr>
              <w:t>S08</w:t>
            </w:r>
          </w:p>
        </w:tc>
        <w:tc>
          <w:tcPr>
            <w:tcW w:type="dxa" w:w="7937"/>
          </w:tcPr>
          <w:p>
            <w:r/>
            <w:r>
              <w:rPr>
                <w:sz w:val="19"/>
              </w:rPr>
              <w:t>Public digital token infrastructure</w:t>
            </w:r>
          </w:p>
        </w:tc>
        <w:tc>
          <w:tcPr>
            <w:tcW w:type="dxa" w:w="5669"/>
          </w:tcPr>
          <w:p>
            <w:r/>
            <w:r>
              <w:rPr>
                <w:sz w:val="19"/>
              </w:rPr>
              <w:t>TK-HOME, TK-TECH</w:t>
            </w:r>
          </w:p>
        </w:tc>
      </w:tr>
      <w:tr>
        <w:tc>
          <w:tcPr>
            <w:tcW w:type="dxa" w:w="1417"/>
          </w:tcPr>
          <w:p>
            <w:r/>
            <w:r>
              <w:rPr>
                <w:sz w:val="19"/>
              </w:rPr>
              <w:t>S08</w:t>
            </w:r>
          </w:p>
        </w:tc>
        <w:tc>
          <w:tcPr>
            <w:tcW w:type="dxa" w:w="7937"/>
          </w:tcPr>
          <w:p>
            <w:r/>
            <w:r>
              <w:rPr>
                <w:sz w:val="19"/>
              </w:rPr>
              <w:t>Identity verified at protocol level</w:t>
            </w:r>
          </w:p>
        </w:tc>
        <w:tc>
          <w:tcPr>
            <w:tcW w:type="dxa" w:w="5669"/>
          </w:tcPr>
          <w:p>
            <w:r/>
            <w:r>
              <w:rPr>
                <w:sz w:val="19"/>
              </w:rPr>
              <w:t>TK-GS</w:t>
            </w:r>
          </w:p>
        </w:tc>
      </w:tr>
      <w:tr>
        <w:tc>
          <w:tcPr>
            <w:tcW w:type="dxa" w:w="1417"/>
          </w:tcPr>
          <w:p>
            <w:r/>
            <w:r>
              <w:rPr>
                <w:sz w:val="19"/>
              </w:rPr>
              <w:t>S08</w:t>
            </w:r>
          </w:p>
        </w:tc>
        <w:tc>
          <w:tcPr>
            <w:tcW w:type="dxa" w:w="7937"/>
          </w:tcPr>
          <w:p>
            <w:r/>
            <w:r>
              <w:rPr>
                <w:sz w:val="19"/>
              </w:rPr>
              <w:t>Confirmed transactions cannot be reversed</w:t>
            </w:r>
          </w:p>
        </w:tc>
        <w:tc>
          <w:tcPr>
            <w:tcW w:type="dxa" w:w="5669"/>
          </w:tcPr>
          <w:p>
            <w:r/>
            <w:r>
              <w:rPr>
                <w:sz w:val="19"/>
              </w:rPr>
              <w:t>RB-AT</w:t>
            </w:r>
          </w:p>
        </w:tc>
      </w:tr>
      <w:tr>
        <w:tc>
          <w:tcPr>
            <w:tcW w:type="dxa" w:w="1417"/>
          </w:tcPr>
          <w:p>
            <w:r/>
            <w:r>
              <w:rPr>
                <w:sz w:val="19"/>
              </w:rPr>
              <w:t>S08</w:t>
            </w:r>
          </w:p>
        </w:tc>
        <w:tc>
          <w:tcPr>
            <w:tcW w:type="dxa" w:w="7937"/>
          </w:tcPr>
          <w:p>
            <w:r/>
            <w:r>
              <w:rPr>
                <w:sz w:val="19"/>
              </w:rPr>
              <w:t>Formally verified consensus</w:t>
            </w:r>
          </w:p>
        </w:tc>
        <w:tc>
          <w:tcPr>
            <w:tcW w:type="dxa" w:w="5669"/>
          </w:tcPr>
          <w:p>
            <w:r/>
            <w:r>
              <w:rPr>
                <w:sz w:val="19"/>
              </w:rPr>
              <w:t>RB-AT</w:t>
            </w:r>
          </w:p>
        </w:tc>
      </w:tr>
      <w:tr>
        <w:tc>
          <w:tcPr>
            <w:tcW w:type="dxa" w:w="1417"/>
          </w:tcPr>
          <w:p>
            <w:r/>
            <w:r>
              <w:rPr>
                <w:sz w:val="19"/>
              </w:rPr>
              <w:t>S08</w:t>
            </w:r>
          </w:p>
        </w:tc>
        <w:tc>
          <w:tcPr>
            <w:tcW w:type="dxa" w:w="7937"/>
          </w:tcPr>
          <w:p>
            <w:r/>
            <w:r>
              <w:rPr>
                <w:sz w:val="19"/>
              </w:rPr>
              <w:t>Born from University of Sydney and CSIRO research</w:t>
            </w:r>
          </w:p>
        </w:tc>
        <w:tc>
          <w:tcPr>
            <w:tcW w:type="dxa" w:w="5669"/>
          </w:tcPr>
          <w:p>
            <w:r/>
            <w:r>
              <w:rPr>
                <w:sz w:val="19"/>
              </w:rPr>
              <w:t>TK-ABOUT, TK-TECH</w:t>
            </w:r>
          </w:p>
        </w:tc>
      </w:tr>
      <w:tr>
        <w:tc>
          <w:tcPr>
            <w:tcW w:type="dxa" w:w="1417"/>
          </w:tcPr>
          <w:p>
            <w:r/>
            <w:r>
              <w:rPr>
                <w:sz w:val="19"/>
              </w:rPr>
              <w:t>S08</w:t>
            </w:r>
          </w:p>
        </w:tc>
        <w:tc>
          <w:tcPr>
            <w:tcW w:type="dxa" w:w="7937"/>
          </w:tcPr>
          <w:p>
            <w:r/>
            <w:r>
              <w:rPr>
                <w:sz w:val="19"/>
              </w:rPr>
              <w:t>Chosen by Australia's central bank for Project Acacia</w:t>
            </w:r>
          </w:p>
        </w:tc>
        <w:tc>
          <w:tcPr>
            <w:tcW w:type="dxa" w:w="5669"/>
          </w:tcPr>
          <w:p>
            <w:r/>
            <w:r>
              <w:rPr>
                <w:sz w:val="19"/>
              </w:rPr>
              <w:t>TK-GS, TK-WHY</w:t>
            </w:r>
          </w:p>
        </w:tc>
      </w:tr>
      <w:tr>
        <w:tc>
          <w:tcPr>
            <w:tcW w:type="dxa" w:w="1417"/>
          </w:tcPr>
          <w:p>
            <w:r/>
            <w:r>
              <w:rPr>
                <w:sz w:val="19"/>
              </w:rPr>
              <w:t>S09</w:t>
            </w:r>
          </w:p>
        </w:tc>
        <w:tc>
          <w:tcPr>
            <w:tcW w:type="dxa" w:w="7937"/>
          </w:tcPr>
          <w:p>
            <w:r/>
            <w:r>
              <w:rPr>
                <w:sz w:val="19"/>
              </w:rPr>
              <w:t>Same strategy.</w:t>
            </w:r>
          </w:p>
        </w:tc>
        <w:tc>
          <w:tcPr>
            <w:tcW w:type="dxa" w:w="5669"/>
          </w:tcPr>
          <w:p>
            <w:r/>
            <w:r>
              <w:rPr>
                <w:sz w:val="19"/>
              </w:rPr>
              <w:t>TK-FUNDS</w:t>
            </w:r>
          </w:p>
        </w:tc>
      </w:tr>
      <w:tr>
        <w:tc>
          <w:tcPr>
            <w:tcW w:type="dxa" w:w="1417"/>
          </w:tcPr>
          <w:p>
            <w:r/>
            <w:r>
              <w:rPr>
                <w:sz w:val="19"/>
              </w:rPr>
              <w:t>S09</w:t>
            </w:r>
          </w:p>
        </w:tc>
        <w:tc>
          <w:tcPr>
            <w:tcW w:type="dxa" w:w="7937"/>
          </w:tcPr>
          <w:p>
            <w:r/>
            <w:r>
              <w:rPr>
                <w:sz w:val="19"/>
              </w:rPr>
              <w:t>Same licence.</w:t>
            </w:r>
          </w:p>
        </w:tc>
        <w:tc>
          <w:tcPr>
            <w:tcW w:type="dxa" w:w="5669"/>
          </w:tcPr>
          <w:p>
            <w:r/>
            <w:r>
              <w:rPr>
                <w:sz w:val="19"/>
              </w:rPr>
              <w:t>KH-FUND</w:t>
            </w:r>
          </w:p>
        </w:tc>
      </w:tr>
      <w:tr>
        <w:tc>
          <w:tcPr>
            <w:tcW w:type="dxa" w:w="1417"/>
          </w:tcPr>
          <w:p>
            <w:r/>
            <w:r>
              <w:rPr>
                <w:sz w:val="19"/>
              </w:rPr>
              <w:t>S09</w:t>
            </w:r>
          </w:p>
        </w:tc>
        <w:tc>
          <w:tcPr>
            <w:tcW w:type="dxa" w:w="7937"/>
          </w:tcPr>
          <w:p>
            <w:r/>
            <w:r>
              <w:rPr>
                <w:sz w:val="19"/>
              </w:rPr>
              <w:t>Compliant tokens on Redbelly</w:t>
            </w:r>
          </w:p>
        </w:tc>
        <w:tc>
          <w:tcPr>
            <w:tcW w:type="dxa" w:w="5669"/>
          </w:tcPr>
          <w:p>
            <w:r/>
            <w:r>
              <w:rPr>
                <w:sz w:val="19"/>
              </w:rPr>
              <w:t>TK-HOME</w:t>
            </w:r>
          </w:p>
        </w:tc>
      </w:tr>
      <w:tr>
        <w:tc>
          <w:tcPr>
            <w:tcW w:type="dxa" w:w="1417"/>
          </w:tcPr>
          <w:p>
            <w:r/>
            <w:r>
              <w:rPr>
                <w:sz w:val="19"/>
              </w:rPr>
              <w:t>S09</w:t>
            </w:r>
          </w:p>
        </w:tc>
        <w:tc>
          <w:tcPr>
            <w:tcW w:type="dxa" w:w="7937"/>
          </w:tcPr>
          <w:p>
            <w:r/>
            <w:r>
              <w:rPr>
                <w:sz w:val="19"/>
              </w:rPr>
              <w:t>Built on</w:t>
            </w:r>
          </w:p>
        </w:tc>
        <w:tc>
          <w:tcPr>
            <w:tcW w:type="dxa" w:w="5669"/>
          </w:tcPr>
          <w:p>
            <w:r/>
            <w:r>
              <w:rPr>
                <w:sz w:val="19"/>
              </w:rPr>
              <w:t>TK-GS</w:t>
            </w:r>
          </w:p>
        </w:tc>
      </w:tr>
      <w:tr>
        <w:tc>
          <w:tcPr>
            <w:tcW w:type="dxa" w:w="1417"/>
          </w:tcPr>
          <w:p>
            <w:r/>
            <w:r>
              <w:rPr>
                <w:sz w:val="19"/>
              </w:rPr>
              <w:t>S09</w:t>
            </w:r>
          </w:p>
        </w:tc>
        <w:tc>
          <w:tcPr>
            <w:tcW w:type="dxa" w:w="7937"/>
          </w:tcPr>
          <w:p>
            <w:r/>
            <w:r>
              <w:rPr>
                <w:sz w:val="19"/>
              </w:rPr>
              <w:t>tokeniser.com</w:t>
            </w:r>
          </w:p>
        </w:tc>
        <w:tc>
          <w:tcPr>
            <w:tcW w:type="dxa" w:w="5669"/>
          </w:tcPr>
          <w:p>
            <w:r/>
            <w:r>
              <w:rPr>
                <w:sz w:val="19"/>
              </w:rPr>
              <w:t>TK-HOME</w:t>
            </w:r>
          </w:p>
        </w:tc>
      </w:tr>
    </w:tbl>
    <w:p>
      <w:pPr>
        <w:spacing w:after="80"/>
      </w:pPr>
      <w:r>
        <w:rPr>
          <w:b w:val="0"/>
          <w:i w:val="0"/>
          <w:color w:val="5E6270"/>
          <w:sz w:val="18"/>
        </w:rPr>
        <w:t>Other on screen text is interface labelling for the illustrative example: investor names, wallet addresses and headings.</w:t>
      </w:r>
    </w:p>
    <w:p>
      <w:pPr>
        <w:spacing w:after="80" w:before="280"/>
      </w:pPr>
      <w:r>
        <w:rPr>
          <w:b w:val="0"/>
          <w:i w:val="0"/>
          <w:color w:val="343740"/>
          <w:sz w:val="30"/>
        </w:rPr>
        <w:t>Sources</w:t>
      </w:r>
    </w:p>
    <w:tbl>
      <w:tblPr>
        <w:tblStyle w:val="TableGrid"/>
        <w:tblW w:type="auto" w:w="0"/>
        <w:jc w:val="left"/>
        <w:tblLook w:firstColumn="1" w:firstRow="1" w:lastColumn="0" w:lastRow="0" w:noHBand="0" w:noVBand="1" w:val="04A0"/>
      </w:tblPr>
      <w:tblGrid>
        <w:gridCol w:w="5008"/>
        <w:gridCol w:w="5008"/>
        <w:gridCol w:w="5008"/>
      </w:tblGrid>
      <w:tr>
        <w:tc>
          <w:tcPr>
            <w:tcW w:type="dxa" w:w="1417"/>
            <w:shd w:val="clear" w:color="auto" w:fill="F2F2F2"/>
          </w:tcPr>
          <w:p>
            <w:r/>
          </w:p>
          <w:p>
            <w:pPr>
              <w:spacing w:after="0"/>
            </w:pPr>
            <w:r>
              <w:rPr>
                <w:b/>
                <w:i w:val="0"/>
                <w:color w:val="5E6270"/>
                <w:sz w:val="16"/>
              </w:rPr>
              <w:t>ID</w:t>
            </w:r>
          </w:p>
        </w:tc>
        <w:tc>
          <w:tcPr>
            <w:tcW w:type="dxa" w:w="5669"/>
            <w:shd w:val="clear" w:color="auto" w:fill="F2F2F2"/>
          </w:tcPr>
          <w:p>
            <w:r/>
          </w:p>
          <w:p>
            <w:pPr>
              <w:spacing w:after="0"/>
            </w:pPr>
            <w:r>
              <w:rPr>
                <w:b/>
                <w:i w:val="0"/>
                <w:color w:val="5E6270"/>
                <w:sz w:val="16"/>
              </w:rPr>
              <w:t>PAGE</w:t>
            </w:r>
          </w:p>
        </w:tc>
        <w:tc>
          <w:tcPr>
            <w:tcW w:type="dxa" w:w="7937"/>
            <w:shd w:val="clear" w:color="auto" w:fill="F2F2F2"/>
          </w:tcPr>
          <w:p>
            <w:r/>
          </w:p>
          <w:p>
            <w:pPr>
              <w:spacing w:after="0"/>
            </w:pPr>
            <w:r>
              <w:rPr>
                <w:b/>
                <w:i w:val="0"/>
                <w:color w:val="5E6270"/>
                <w:sz w:val="16"/>
              </w:rPr>
              <w:t>ADDRESS</w:t>
            </w:r>
          </w:p>
        </w:tc>
      </w:tr>
      <w:tr>
        <w:tc>
          <w:tcPr>
            <w:tcW w:type="dxa" w:w="1417"/>
          </w:tcPr>
          <w:p>
            <w:r/>
            <w:r>
              <w:rPr>
                <w:sz w:val="19"/>
              </w:rPr>
              <w:t>TK-HOME</w:t>
            </w:r>
          </w:p>
        </w:tc>
        <w:tc>
          <w:tcPr>
            <w:tcW w:type="dxa" w:w="5669"/>
          </w:tcPr>
          <w:p>
            <w:r/>
            <w:r>
              <w:rPr>
                <w:sz w:val="19"/>
              </w:rPr>
              <w:t>Tokeniser, home page</w:t>
            </w:r>
          </w:p>
        </w:tc>
        <w:tc>
          <w:tcPr>
            <w:tcW w:type="dxa" w:w="7937"/>
          </w:tcPr>
          <w:p>
            <w:r/>
            <w:r>
              <w:rPr>
                <w:sz w:val="19"/>
              </w:rPr>
              <w:t>https://tokeniser.com</w:t>
            </w:r>
          </w:p>
        </w:tc>
      </w:tr>
      <w:tr>
        <w:tc>
          <w:tcPr>
            <w:tcW w:type="dxa" w:w="1417"/>
          </w:tcPr>
          <w:p>
            <w:r/>
            <w:r>
              <w:rPr>
                <w:sz w:val="19"/>
              </w:rPr>
              <w:t>TK-ABOUT</w:t>
            </w:r>
          </w:p>
        </w:tc>
        <w:tc>
          <w:tcPr>
            <w:tcW w:type="dxa" w:w="5669"/>
          </w:tcPr>
          <w:p>
            <w:r/>
            <w:r>
              <w:rPr>
                <w:sz w:val="19"/>
              </w:rPr>
              <w:t>Tokeniser, About us</w:t>
            </w:r>
          </w:p>
        </w:tc>
        <w:tc>
          <w:tcPr>
            <w:tcW w:type="dxa" w:w="7937"/>
          </w:tcPr>
          <w:p>
            <w:r/>
            <w:r>
              <w:rPr>
                <w:sz w:val="19"/>
              </w:rPr>
              <w:t>https://tokeniser.com/about</w:t>
            </w:r>
          </w:p>
        </w:tc>
      </w:tr>
      <w:tr>
        <w:tc>
          <w:tcPr>
            <w:tcW w:type="dxa" w:w="1417"/>
          </w:tcPr>
          <w:p>
            <w:r/>
            <w:r>
              <w:rPr>
                <w:sz w:val="19"/>
              </w:rPr>
              <w:t>TK-FUNDS</w:t>
            </w:r>
          </w:p>
        </w:tc>
        <w:tc>
          <w:tcPr>
            <w:tcW w:type="dxa" w:w="5669"/>
          </w:tcPr>
          <w:p>
            <w:r/>
            <w:r>
              <w:rPr>
                <w:sz w:val="19"/>
              </w:rPr>
              <w:t>Tokeniser, Solutions: Funds</w:t>
            </w:r>
          </w:p>
        </w:tc>
        <w:tc>
          <w:tcPr>
            <w:tcW w:type="dxa" w:w="7937"/>
          </w:tcPr>
          <w:p>
            <w:r/>
            <w:r>
              <w:rPr>
                <w:sz w:val="19"/>
              </w:rPr>
              <w:t>https://tokeniser.com/solutions/funds</w:t>
            </w:r>
          </w:p>
        </w:tc>
      </w:tr>
      <w:tr>
        <w:tc>
          <w:tcPr>
            <w:tcW w:type="dxa" w:w="1417"/>
          </w:tcPr>
          <w:p>
            <w:r/>
            <w:r>
              <w:rPr>
                <w:sz w:val="19"/>
              </w:rPr>
              <w:t>TK-GS</w:t>
            </w:r>
          </w:p>
        </w:tc>
        <w:tc>
          <w:tcPr>
            <w:tcW w:type="dxa" w:w="5669"/>
          </w:tcPr>
          <w:p>
            <w:r/>
            <w:r>
              <w:rPr>
                <w:sz w:val="19"/>
              </w:rPr>
              <w:t>Tokeniser, Product: Getting started</w:t>
            </w:r>
          </w:p>
        </w:tc>
        <w:tc>
          <w:tcPr>
            <w:tcW w:type="dxa" w:w="7937"/>
          </w:tcPr>
          <w:p>
            <w:r/>
            <w:r>
              <w:rPr>
                <w:sz w:val="19"/>
              </w:rPr>
              <w:t>https://tokeniser.com/product/getting-started</w:t>
            </w:r>
          </w:p>
        </w:tc>
      </w:tr>
      <w:tr>
        <w:tc>
          <w:tcPr>
            <w:tcW w:type="dxa" w:w="1417"/>
          </w:tcPr>
          <w:p>
            <w:r/>
            <w:r>
              <w:rPr>
                <w:sz w:val="19"/>
              </w:rPr>
              <w:t>TK-TECH</w:t>
            </w:r>
          </w:p>
        </w:tc>
        <w:tc>
          <w:tcPr>
            <w:tcW w:type="dxa" w:w="5669"/>
          </w:tcPr>
          <w:p>
            <w:r/>
            <w:r>
              <w:rPr>
                <w:sz w:val="19"/>
              </w:rPr>
              <w:t>Tokeniser, Technology</w:t>
            </w:r>
          </w:p>
        </w:tc>
        <w:tc>
          <w:tcPr>
            <w:tcW w:type="dxa" w:w="7937"/>
          </w:tcPr>
          <w:p>
            <w:r/>
            <w:r>
              <w:rPr>
                <w:sz w:val="19"/>
              </w:rPr>
              <w:t>https://tokeniser.com/technology</w:t>
            </w:r>
          </w:p>
        </w:tc>
      </w:tr>
      <w:tr>
        <w:tc>
          <w:tcPr>
            <w:tcW w:type="dxa" w:w="1417"/>
          </w:tcPr>
          <w:p>
            <w:r/>
            <w:r>
              <w:rPr>
                <w:sz w:val="19"/>
              </w:rPr>
              <w:t>TK-WHY</w:t>
            </w:r>
          </w:p>
        </w:tc>
        <w:tc>
          <w:tcPr>
            <w:tcW w:type="dxa" w:w="5669"/>
          </w:tcPr>
          <w:p>
            <w:r/>
            <w:r>
              <w:rPr>
                <w:sz w:val="19"/>
              </w:rPr>
              <w:t>Tokeniser, Why tokenise</w:t>
            </w:r>
          </w:p>
        </w:tc>
        <w:tc>
          <w:tcPr>
            <w:tcW w:type="dxa" w:w="7937"/>
          </w:tcPr>
          <w:p>
            <w:r/>
            <w:r>
              <w:rPr>
                <w:sz w:val="19"/>
              </w:rPr>
              <w:t>https://tokeniser.com/why-tokenise</w:t>
            </w:r>
          </w:p>
        </w:tc>
      </w:tr>
      <w:tr>
        <w:tc>
          <w:tcPr>
            <w:tcW w:type="dxa" w:w="1417"/>
          </w:tcPr>
          <w:p>
            <w:r/>
            <w:r>
              <w:rPr>
                <w:sz w:val="19"/>
              </w:rPr>
              <w:t>TK-AC</w:t>
            </w:r>
          </w:p>
        </w:tc>
        <w:tc>
          <w:tcPr>
            <w:tcW w:type="dxa" w:w="5669"/>
          </w:tcPr>
          <w:p>
            <w:r/>
            <w:r>
              <w:rPr>
                <w:sz w:val="19"/>
              </w:rPr>
              <w:t>Tokeniser, Superpowers: Automated compliance</w:t>
            </w:r>
          </w:p>
        </w:tc>
        <w:tc>
          <w:tcPr>
            <w:tcW w:type="dxa" w:w="7937"/>
          </w:tcPr>
          <w:p>
            <w:r/>
            <w:r>
              <w:rPr>
                <w:sz w:val="19"/>
              </w:rPr>
              <w:t>https://tokeniser.com/product/superpowers/automated-compliance</w:t>
            </w:r>
          </w:p>
        </w:tc>
      </w:tr>
      <w:tr>
        <w:tc>
          <w:tcPr>
            <w:tcW w:type="dxa" w:w="1417"/>
          </w:tcPr>
          <w:p>
            <w:r/>
            <w:r>
              <w:rPr>
                <w:sz w:val="19"/>
              </w:rPr>
              <w:t>TK-IS</w:t>
            </w:r>
          </w:p>
        </w:tc>
        <w:tc>
          <w:tcPr>
            <w:tcW w:type="dxa" w:w="5669"/>
          </w:tcPr>
          <w:p>
            <w:r/>
            <w:r>
              <w:rPr>
                <w:sz w:val="19"/>
              </w:rPr>
              <w:t>Tokeniser, Superpowers: Instant settlement</w:t>
            </w:r>
          </w:p>
        </w:tc>
        <w:tc>
          <w:tcPr>
            <w:tcW w:type="dxa" w:w="7937"/>
          </w:tcPr>
          <w:p>
            <w:r/>
            <w:r>
              <w:rPr>
                <w:sz w:val="19"/>
              </w:rPr>
              <w:t>https://tokeniser.com/product/superpowers/instant-settlement</w:t>
            </w:r>
          </w:p>
        </w:tc>
      </w:tr>
      <w:tr>
        <w:tc>
          <w:tcPr>
            <w:tcW w:type="dxa" w:w="1417"/>
          </w:tcPr>
          <w:p>
            <w:r/>
            <w:r>
              <w:rPr>
                <w:sz w:val="19"/>
              </w:rPr>
              <w:t>TK-RTT</w:t>
            </w:r>
          </w:p>
        </w:tc>
        <w:tc>
          <w:tcPr>
            <w:tcW w:type="dxa" w:w="5669"/>
          </w:tcPr>
          <w:p>
            <w:r/>
            <w:r>
              <w:rPr>
                <w:sz w:val="19"/>
              </w:rPr>
              <w:t>Tokeniser, Superpowers: Real-time transparency</w:t>
            </w:r>
          </w:p>
        </w:tc>
        <w:tc>
          <w:tcPr>
            <w:tcW w:type="dxa" w:w="7937"/>
          </w:tcPr>
          <w:p>
            <w:r/>
            <w:r>
              <w:rPr>
                <w:sz w:val="19"/>
              </w:rPr>
              <w:t>https://tokeniser.com/product/superpowers/real-time-transparency</w:t>
            </w:r>
          </w:p>
        </w:tc>
      </w:tr>
      <w:tr>
        <w:tc>
          <w:tcPr>
            <w:tcW w:type="dxa" w:w="1417"/>
          </w:tcPr>
          <w:p>
            <w:r/>
            <w:r>
              <w:rPr>
                <w:sz w:val="19"/>
              </w:rPr>
              <w:t>KH-FUND</w:t>
            </w:r>
          </w:p>
        </w:tc>
        <w:tc>
          <w:tcPr>
            <w:tcW w:type="dxa" w:w="5669"/>
          </w:tcPr>
          <w:p>
            <w:r/>
            <w:r>
              <w:rPr>
                <w:sz w:val="19"/>
              </w:rPr>
              <w:t>Tokeniser Knowledge Hub, How to tokenise a fund in Australia</w:t>
            </w:r>
          </w:p>
        </w:tc>
        <w:tc>
          <w:tcPr>
            <w:tcW w:type="dxa" w:w="7937"/>
          </w:tcPr>
          <w:p>
            <w:r/>
            <w:r>
              <w:rPr>
                <w:sz w:val="19"/>
              </w:rPr>
              <w:t>https://tokeniser.com/resources/knowledge-hub/australia/how-to-tokenise-a-fund-in-australia</w:t>
            </w:r>
          </w:p>
        </w:tc>
      </w:tr>
      <w:tr>
        <w:tc>
          <w:tcPr>
            <w:tcW w:type="dxa" w:w="1417"/>
          </w:tcPr>
          <w:p>
            <w:r/>
            <w:r>
              <w:rPr>
                <w:sz w:val="19"/>
              </w:rPr>
              <w:t>KH-WORK</w:t>
            </w:r>
          </w:p>
        </w:tc>
        <w:tc>
          <w:tcPr>
            <w:tcW w:type="dxa" w:w="5669"/>
          </w:tcPr>
          <w:p>
            <w:r/>
            <w:r>
              <w:rPr>
                <w:sz w:val="19"/>
              </w:rPr>
              <w:t>Tokeniser Knowledge Hub, How does Tokeniser work?</w:t>
            </w:r>
          </w:p>
        </w:tc>
        <w:tc>
          <w:tcPr>
            <w:tcW w:type="dxa" w:w="7937"/>
          </w:tcPr>
          <w:p>
            <w:r/>
            <w:r>
              <w:rPr>
                <w:sz w:val="19"/>
              </w:rPr>
              <w:t>https://tokeniser.com/resources/knowledge-hub/platform/how-does-tokeniser-work</w:t>
            </w:r>
          </w:p>
        </w:tc>
      </w:tr>
      <w:tr>
        <w:tc>
          <w:tcPr>
            <w:tcW w:type="dxa" w:w="1417"/>
          </w:tcPr>
          <w:p>
            <w:r/>
            <w:r>
              <w:rPr>
                <w:sz w:val="19"/>
              </w:rPr>
              <w:t>KH-COMP</w:t>
            </w:r>
          </w:p>
        </w:tc>
        <w:tc>
          <w:tcPr>
            <w:tcW w:type="dxa" w:w="5669"/>
          </w:tcPr>
          <w:p>
            <w:r/>
            <w:r>
              <w:rPr>
                <w:sz w:val="19"/>
              </w:rPr>
              <w:t>Tokeniser Knowledge Hub, How does Tokeniser handle investor compliance?</w:t>
            </w:r>
          </w:p>
        </w:tc>
        <w:tc>
          <w:tcPr>
            <w:tcW w:type="dxa" w:w="7937"/>
          </w:tcPr>
          <w:p>
            <w:r/>
            <w:r>
              <w:rPr>
                <w:sz w:val="19"/>
              </w:rPr>
              <w:t>https://tokeniser.com/resources/knowledge-hub/australia/how-tokeniser-handles-investor-compliance</w:t>
            </w:r>
          </w:p>
        </w:tc>
      </w:tr>
      <w:tr>
        <w:tc>
          <w:tcPr>
            <w:tcW w:type="dxa" w:w="1417"/>
          </w:tcPr>
          <w:p>
            <w:r/>
            <w:r>
              <w:rPr>
                <w:sz w:val="19"/>
              </w:rPr>
              <w:t>RB-AT</w:t>
            </w:r>
          </w:p>
        </w:tc>
        <w:tc>
          <w:tcPr>
            <w:tcW w:type="dxa" w:w="5669"/>
          </w:tcPr>
          <w:p>
            <w:r/>
            <w:r>
              <w:rPr>
                <w:sz w:val="19"/>
              </w:rPr>
              <w:t>Redbelly Network, Asset tokenisation</w:t>
            </w:r>
          </w:p>
        </w:tc>
        <w:tc>
          <w:tcPr>
            <w:tcW w:type="dxa" w:w="7937"/>
          </w:tcPr>
          <w:p>
            <w:r/>
            <w:r>
              <w:rPr>
                <w:sz w:val="19"/>
              </w:rPr>
              <w:t>https://redbelly.network/asset-tokenisation</w:t>
            </w:r>
          </w:p>
        </w:tc>
      </w:tr>
    </w:tbl>
    <w:p>
      <w:pPr>
        <w:spacing w:after="80"/>
      </w:pPr>
      <w:r>
        <w:rPr>
          <w:b w:val="0"/>
          <w:i w:val="0"/>
          <w:color w:val="5E6270"/>
          <w:sz w:val="18"/>
        </w:rPr>
        <w:t>All pages read on 2026-10-26.</w:t>
      </w:r>
    </w:p>
    <w:p>
      <w:pPr>
        <w:spacing w:after="80" w:before="280"/>
      </w:pPr>
      <w:r>
        <w:rPr>
          <w:b w:val="0"/>
          <w:i w:val="0"/>
          <w:color w:val="343740"/>
          <w:sz w:val="30"/>
        </w:rPr>
        <w:t>Left out on purpose</w:t>
      </w:r>
    </w:p>
    <w:p>
      <w:pPr>
        <w:pStyle w:val="ListBullet"/>
      </w:pPr>
      <w:r>
        <w:t>Market size projections, AUM, fee and cost saving figures</w:t>
      </w:r>
    </w:p>
    <w:p>
      <w:pPr>
        <w:pStyle w:val="ListBullet"/>
      </w:pPr>
      <w:r>
        <w:t>Transactions per second (the Tokeniser technology page and the Redbelly home page show different figures)</w:t>
      </w:r>
    </w:p>
    <w:p>
      <w:pPr>
        <w:pStyle w:val="ListBullet"/>
      </w:pPr>
      <w:r>
        <w:t>Liquidity as a benefit (Tokeniser states tokenisation does not guarantee liquidity)</w:t>
      </w:r>
    </w:p>
    <w:p>
      <w:pPr>
        <w:pStyle w:val="ListBullet"/>
      </w:pPr>
      <w:r>
        <w:t>Lower cost of capital, leverage and lending claims</w:t>
      </w:r>
    </w:p>
    <w:p>
      <w:pPr>
        <w:spacing w:after="80" w:before="280"/>
      </w:pPr>
      <w:r>
        <w:rPr>
          <w:b w:val="0"/>
          <w:i w:val="0"/>
          <w:color w:val="343740"/>
          <w:sz w:val="30"/>
        </w:rPr>
        <w:t>Production and licences</w:t>
      </w:r>
    </w:p>
    <w:tbl>
      <w:tblPr>
        <w:tblStyle w:val="TableGrid"/>
        <w:tblW w:type="auto" w:w="0"/>
        <w:jc w:val="left"/>
        <w:tblLook w:firstColumn="1" w:firstRow="1" w:lastColumn="0" w:lastRow="0" w:noHBand="0" w:noVBand="1" w:val="04A0"/>
      </w:tblPr>
      <w:tblGrid>
        <w:gridCol w:w="7512"/>
        <w:gridCol w:w="7512"/>
      </w:tblGrid>
      <w:tr>
        <w:tc>
          <w:tcPr>
            <w:tcW w:type="dxa" w:w="2835"/>
            <w:shd w:val="clear" w:color="auto" w:fill="F2F2F2"/>
          </w:tcPr>
          <w:p>
            <w:r/>
          </w:p>
          <w:p>
            <w:pPr>
              <w:spacing w:after="0"/>
            </w:pPr>
            <w:r>
              <w:rPr>
                <w:b/>
                <w:i w:val="0"/>
                <w:color w:val="5E6270"/>
                <w:sz w:val="16"/>
              </w:rPr>
              <w:t>ITEM</w:t>
            </w:r>
          </w:p>
        </w:tc>
        <w:tc>
          <w:tcPr>
            <w:tcW w:type="dxa" w:w="12189"/>
            <w:shd w:val="clear" w:color="auto" w:fill="F2F2F2"/>
          </w:tcPr>
          <w:p>
            <w:r/>
          </w:p>
          <w:p>
            <w:pPr>
              <w:spacing w:after="0"/>
            </w:pPr>
            <w:r>
              <w:rPr>
                <w:b/>
                <w:i w:val="0"/>
                <w:color w:val="5E6270"/>
                <w:sz w:val="16"/>
              </w:rPr>
              <w:t>DETAIL</w:t>
            </w:r>
          </w:p>
        </w:tc>
      </w:tr>
      <w:tr>
        <w:tc>
          <w:tcPr>
            <w:tcW w:type="dxa" w:w="2835"/>
          </w:tcPr>
          <w:p>
            <w:r/>
            <w:r>
              <w:rPr>
                <w:sz w:val="19"/>
              </w:rPr>
              <w:t>Voice</w:t>
            </w:r>
          </w:p>
        </w:tc>
        <w:tc>
          <w:tcPr>
            <w:tcW w:type="dxa" w:w="12189"/>
          </w:tcPr>
          <w:p>
            <w:r/>
            <w:r>
              <w:rPr>
                <w:sz w:val="19"/>
              </w:rPr>
              <w:t>Kokoro 82M text to speech model, voice af_heart, run locally. Licence: Apache License 2.0, which allows commercial use. Licence text in licences/.</w:t>
            </w:r>
          </w:p>
        </w:tc>
      </w:tr>
      <w:tr>
        <w:tc>
          <w:tcPr>
            <w:tcW w:type="dxa" w:w="2835"/>
          </w:tcPr>
          <w:p>
            <w:r/>
            <w:r>
              <w:rPr>
                <w:sz w:val="19"/>
              </w:rPr>
              <w:t>Music and sound</w:t>
            </w:r>
          </w:p>
        </w:tc>
        <w:tc>
          <w:tcPr>
            <w:tcW w:type="dxa" w:w="12189"/>
          </w:tcPr>
          <w:p>
            <w:r/>
            <w:r>
              <w:rPr>
                <w:sz w:val="19"/>
              </w:rPr>
              <w:t>Original music bed and transition sounds generated in code for this project (tools/build_music.py). No third party audio.</w:t>
            </w:r>
          </w:p>
        </w:tc>
      </w:tr>
      <w:tr>
        <w:tc>
          <w:tcPr>
            <w:tcW w:type="dxa" w:w="2835"/>
          </w:tcPr>
          <w:p>
            <w:r/>
            <w:r>
              <w:rPr>
                <w:sz w:val="19"/>
              </w:rPr>
              <w:t>Typefaces</w:t>
            </w:r>
          </w:p>
        </w:tc>
        <w:tc>
          <w:tcPr>
            <w:tcW w:type="dxa" w:w="12189"/>
          </w:tcPr>
          <w:p>
            <w:r/>
            <w:r>
              <w:rPr>
                <w:sz w:val="19"/>
              </w:rPr>
              <w:t>Readex Pro (Redbelly brand kit) and JetBrains Mono for wallet addresses. Both under the SIL Open Font License 1.1, which allows commercial use.</w:t>
            </w:r>
          </w:p>
        </w:tc>
      </w:tr>
      <w:tr>
        <w:tc>
          <w:tcPr>
            <w:tcW w:type="dxa" w:w="2835"/>
          </w:tcPr>
          <w:p>
            <w:r/>
            <w:r>
              <w:rPr>
                <w:sz w:val="19"/>
              </w:rPr>
              <w:t>Logos</w:t>
            </w:r>
          </w:p>
        </w:tc>
        <w:tc>
          <w:tcPr>
            <w:tcW w:type="dxa" w:w="12189"/>
          </w:tcPr>
          <w:p>
            <w:r/>
            <w:r>
              <w:rPr>
                <w:sz w:val="19"/>
              </w:rPr>
              <w:t>Official Redbelly Network logo files from the Redbelly brand kit, used unmodified. The supplied kits contain no Tokeniser logo, so the name is set in Readex Pro.</w:t>
            </w:r>
          </w:p>
        </w:tc>
      </w:tr>
      <w:tr>
        <w:tc>
          <w:tcPr>
            <w:tcW w:type="dxa" w:w="2835"/>
          </w:tcPr>
          <w:p>
            <w:r/>
            <w:r>
              <w:rPr>
                <w:sz w:val="19"/>
              </w:rPr>
              <w:t>Icons and illustration</w:t>
            </w:r>
          </w:p>
        </w:tc>
        <w:tc>
          <w:tcPr>
            <w:tcW w:type="dxa" w:w="12189"/>
          </w:tcPr>
          <w:p>
            <w:r/>
            <w:r>
              <w:rPr>
                <w:sz w:val="19"/>
              </w:rPr>
              <w:t>Drawn for this project as SVG in animation/scenes.js.</w:t>
            </w:r>
          </w:p>
        </w:tc>
      </w:tr>
      <w:tr>
        <w:tc>
          <w:tcPr>
            <w:tcW w:type="dxa" w:w="2835"/>
          </w:tcPr>
          <w:p>
            <w:r/>
            <w:r>
              <w:rPr>
                <w:sz w:val="19"/>
              </w:rPr>
              <w:t>Stock assets</w:t>
            </w:r>
          </w:p>
        </w:tc>
        <w:tc>
          <w:tcPr>
            <w:tcW w:type="dxa" w:w="12189"/>
          </w:tcPr>
          <w:p>
            <w:r/>
            <w:r>
              <w:rPr>
                <w:sz w:val="19"/>
              </w:rPr>
              <w:t>None. No stock footage, photography, music or voice.</w:t>
            </w:r>
          </w:p>
        </w:tc>
      </w:tr>
      <w:tr>
        <w:tc>
          <w:tcPr>
            <w:tcW w:type="dxa" w:w="2835"/>
          </w:tcPr>
          <w:p>
            <w:r/>
            <w:r>
              <w:rPr>
                <w:sz w:val="19"/>
              </w:rPr>
              <w:t>Loudness</w:t>
            </w:r>
          </w:p>
        </w:tc>
        <w:tc>
          <w:tcPr>
            <w:tcW w:type="dxa" w:w="12189"/>
          </w:tcPr>
          <w:p>
            <w:r/>
            <w:r>
              <w:rPr>
                <w:sz w:val="19"/>
              </w:rPr>
              <w:t>Integrated loudness -16 LUFS, true peak ceiling -1.5 dBTP.</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eadex Pro" w:hAnsi="Readex Pro" w:eastAsia="Readex Pro"/>
      <w:color w:val="3437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Fund to Token</dc:title>
  <dc:subject/>
  <dc:creator/>
  <cp:keywords/>
  <dc:description/>
  <cp:lastModifiedBy/>
  <cp:revision>1</cp:revision>
  <dcterms:created xsi:type="dcterms:W3CDTF">2013-12-23T23:15:00Z</dcterms:created>
  <dcterms:modified xsi:type="dcterms:W3CDTF">2013-12-23T23:15:00Z</dcterms:modified>
  <cp:category/>
</cp:coreProperties>
</file>