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2FA5" w:rsidRPr="00434F80" w:rsidRDefault="00CE2FA5" w:rsidP="00CE2FA5">
      <w:pPr>
        <w:jc w:val="center"/>
        <w:rPr>
          <w:rFonts w:ascii="David" w:hAnsi="David" w:cs="David"/>
          <w:b/>
          <w:bCs/>
          <w:sz w:val="24"/>
          <w:szCs w:val="24"/>
          <w:rtl/>
        </w:rPr>
      </w:pPr>
      <w:r w:rsidRPr="00434F80">
        <w:rPr>
          <w:rFonts w:ascii="David" w:hAnsi="David" w:cs="David"/>
          <w:b/>
          <w:bCs/>
          <w:sz w:val="24"/>
          <w:szCs w:val="24"/>
          <w:rtl/>
        </w:rPr>
        <w:t>קורות חיים עו"ד רן מובשוביץ</w:t>
      </w:r>
    </w:p>
    <w:p w:rsidR="00F03292" w:rsidRPr="00434F80" w:rsidRDefault="00CE2FA5" w:rsidP="00CE2FA5">
      <w:pPr>
        <w:jc w:val="both"/>
        <w:rPr>
          <w:rFonts w:ascii="David" w:hAnsi="David" w:cs="David"/>
          <w:color w:val="000000"/>
          <w:sz w:val="24"/>
          <w:szCs w:val="24"/>
          <w:shd w:val="clear" w:color="auto" w:fill="FFFFFF"/>
          <w:rtl/>
        </w:rPr>
      </w:pPr>
      <w:r w:rsidRPr="00434F80">
        <w:rPr>
          <w:rFonts w:ascii="David" w:hAnsi="David" w:cs="David"/>
          <w:sz w:val="24"/>
          <w:szCs w:val="24"/>
          <w:rtl/>
        </w:rPr>
        <w:t>עו"ד דר' רן מובשוביץ (</w:t>
      </w:r>
      <w:r w:rsidRPr="00434F80">
        <w:rPr>
          <w:rFonts w:ascii="David" w:hAnsi="David" w:cs="David"/>
          <w:sz w:val="24"/>
          <w:szCs w:val="24"/>
        </w:rPr>
        <w:t>JSD</w:t>
      </w:r>
      <w:r w:rsidRPr="00434F80">
        <w:rPr>
          <w:rFonts w:ascii="David" w:hAnsi="David" w:cs="David"/>
          <w:sz w:val="24"/>
          <w:szCs w:val="24"/>
          <w:rtl/>
        </w:rPr>
        <w:t>)</w:t>
      </w:r>
      <w:r w:rsidRPr="00434F80">
        <w:rPr>
          <w:rFonts w:ascii="David" w:hAnsi="David" w:cs="David"/>
          <w:sz w:val="24"/>
          <w:szCs w:val="24"/>
          <w:rtl/>
        </w:rPr>
        <w:t xml:space="preserve"> הינו בעלים של משרד בוטיק המתמחה</w:t>
      </w:r>
      <w:r w:rsidR="00F03292" w:rsidRPr="00434F80">
        <w:rPr>
          <w:rFonts w:ascii="David" w:hAnsi="David" w:cs="David"/>
          <w:sz w:val="24"/>
          <w:szCs w:val="24"/>
          <w:rtl/>
        </w:rPr>
        <w:t xml:space="preserve"> בליטיגציה בתחום סכסוכי הירושה, </w:t>
      </w:r>
      <w:r w:rsidRPr="00434F80">
        <w:rPr>
          <w:rFonts w:ascii="David" w:hAnsi="David" w:cs="David"/>
          <w:sz w:val="24"/>
          <w:szCs w:val="24"/>
          <w:rtl/>
        </w:rPr>
        <w:t xml:space="preserve">הגשת עתירות מנהליות </w:t>
      </w:r>
      <w:proofErr w:type="spellStart"/>
      <w:r w:rsidRPr="00434F80">
        <w:rPr>
          <w:rFonts w:ascii="David" w:hAnsi="David" w:cs="David"/>
          <w:sz w:val="24"/>
          <w:szCs w:val="24"/>
          <w:rtl/>
        </w:rPr>
        <w:t>ובג"צים</w:t>
      </w:r>
      <w:proofErr w:type="spellEnd"/>
      <w:r w:rsidRPr="00434F80">
        <w:rPr>
          <w:rFonts w:ascii="David" w:hAnsi="David" w:cs="David"/>
          <w:sz w:val="24"/>
          <w:szCs w:val="24"/>
          <w:rtl/>
        </w:rPr>
        <w:t xml:space="preserve">, </w:t>
      </w:r>
      <w:r w:rsidR="00F03292" w:rsidRPr="00434F80">
        <w:rPr>
          <w:rFonts w:ascii="David" w:hAnsi="David" w:cs="David"/>
          <w:sz w:val="24"/>
          <w:szCs w:val="24"/>
          <w:rtl/>
        </w:rPr>
        <w:t>ו</w:t>
      </w:r>
      <w:r w:rsidR="00434F80" w:rsidRPr="00434F80">
        <w:rPr>
          <w:rFonts w:ascii="David" w:hAnsi="David" w:cs="David"/>
          <w:sz w:val="24"/>
          <w:szCs w:val="24"/>
          <w:rtl/>
        </w:rPr>
        <w:t xml:space="preserve">הענקת </w:t>
      </w:r>
      <w:r w:rsidR="00F03292" w:rsidRPr="00434F80">
        <w:rPr>
          <w:rFonts w:ascii="David" w:hAnsi="David" w:cs="David"/>
          <w:sz w:val="24"/>
          <w:szCs w:val="24"/>
          <w:rtl/>
        </w:rPr>
        <w:t xml:space="preserve">ייעוץ אסטרטגי מקצועי </w:t>
      </w:r>
      <w:r w:rsidR="00434F80" w:rsidRPr="00434F80">
        <w:rPr>
          <w:rFonts w:ascii="David" w:hAnsi="David" w:cs="David"/>
          <w:sz w:val="24"/>
          <w:szCs w:val="24"/>
          <w:rtl/>
        </w:rPr>
        <w:t>ו</w:t>
      </w:r>
      <w:r w:rsidR="00F03292" w:rsidRPr="00434F80">
        <w:rPr>
          <w:rFonts w:ascii="David" w:hAnsi="David" w:cs="David"/>
          <w:sz w:val="24"/>
          <w:szCs w:val="24"/>
          <w:rtl/>
        </w:rPr>
        <w:t>ניהול הליך משפטי.</w:t>
      </w:r>
    </w:p>
    <w:p w:rsidR="00434F80" w:rsidRPr="00434F80" w:rsidRDefault="00434F80" w:rsidP="00434F80">
      <w:pPr>
        <w:jc w:val="both"/>
        <w:rPr>
          <w:rFonts w:ascii="David" w:hAnsi="David" w:cs="David"/>
          <w:sz w:val="24"/>
          <w:szCs w:val="24"/>
          <w:rtl/>
        </w:rPr>
      </w:pPr>
      <w:r w:rsidRPr="00434F80">
        <w:rPr>
          <w:rFonts w:ascii="David" w:hAnsi="David" w:cs="David"/>
          <w:sz w:val="24"/>
          <w:szCs w:val="24"/>
          <w:rtl/>
        </w:rPr>
        <w:t xml:space="preserve">עו"ד </w:t>
      </w:r>
      <w:r w:rsidRPr="00434F80">
        <w:rPr>
          <w:rFonts w:ascii="David" w:hAnsi="David" w:cs="David"/>
          <w:color w:val="000000"/>
          <w:sz w:val="24"/>
          <w:szCs w:val="24"/>
          <w:shd w:val="clear" w:color="auto" w:fill="FFFFFF"/>
          <w:rtl/>
        </w:rPr>
        <w:t>מובשוביץ משמש כחבר ועדת הירושה בלשכת עורכי הדין, חבר ועדת בית המשפט העליון בלשכת עורכי הדין והוציא לאור את הספר "סכסוכי ירושה, הלכה למעשה</w:t>
      </w:r>
      <w:r w:rsidRPr="00434F80">
        <w:rPr>
          <w:rFonts w:ascii="David" w:hAnsi="David" w:cs="David"/>
          <w:sz w:val="24"/>
          <w:szCs w:val="24"/>
          <w:rtl/>
        </w:rPr>
        <w:t>"</w:t>
      </w:r>
      <w:r w:rsidR="002B3915">
        <w:rPr>
          <w:rFonts w:ascii="David" w:hAnsi="David" w:cs="David" w:hint="cs"/>
          <w:sz w:val="24"/>
          <w:szCs w:val="24"/>
          <w:rtl/>
        </w:rPr>
        <w:t>, חיבור משפטי הסוקר את פסיקות המפתח בנושא קיום צוואות ומתנות מן העיזבון</w:t>
      </w:r>
      <w:r w:rsidRPr="00434F80">
        <w:rPr>
          <w:rFonts w:ascii="David" w:hAnsi="David" w:cs="David"/>
          <w:sz w:val="24"/>
          <w:szCs w:val="24"/>
          <w:rtl/>
        </w:rPr>
        <w:t>.</w:t>
      </w:r>
    </w:p>
    <w:p w:rsidR="00997A7C" w:rsidRPr="00434F80" w:rsidRDefault="00F03292" w:rsidP="00997A7C">
      <w:pPr>
        <w:spacing w:line="360" w:lineRule="auto"/>
        <w:jc w:val="both"/>
        <w:rPr>
          <w:rFonts w:ascii="David" w:hAnsi="David" w:cs="David"/>
          <w:color w:val="000000"/>
          <w:sz w:val="24"/>
          <w:szCs w:val="24"/>
          <w:shd w:val="clear" w:color="auto" w:fill="FFFFFF"/>
          <w:rtl/>
        </w:rPr>
      </w:pPr>
      <w:r w:rsidRPr="00434F80">
        <w:rPr>
          <w:rFonts w:ascii="David" w:hAnsi="David" w:cs="David"/>
          <w:color w:val="000000"/>
          <w:sz w:val="24"/>
          <w:szCs w:val="24"/>
          <w:shd w:val="clear" w:color="auto" w:fill="FFFFFF"/>
          <w:rtl/>
        </w:rPr>
        <w:t xml:space="preserve">ברשימת </w:t>
      </w:r>
      <w:r w:rsidR="00434F80" w:rsidRPr="00434F80">
        <w:rPr>
          <w:rFonts w:ascii="David" w:hAnsi="David" w:cs="David"/>
          <w:color w:val="000000"/>
          <w:sz w:val="24"/>
          <w:szCs w:val="24"/>
          <w:shd w:val="clear" w:color="auto" w:fill="FFFFFF"/>
          <w:rtl/>
        </w:rPr>
        <w:t xml:space="preserve">פעילויות </w:t>
      </w:r>
      <w:r w:rsidRPr="00434F80">
        <w:rPr>
          <w:rFonts w:ascii="David" w:hAnsi="David" w:cs="David"/>
          <w:color w:val="000000"/>
          <w:sz w:val="24"/>
          <w:szCs w:val="24"/>
          <w:shd w:val="clear" w:color="auto" w:fill="FFFFFF"/>
          <w:rtl/>
        </w:rPr>
        <w:t>משרד</w:t>
      </w:r>
      <w:r w:rsidR="00434F80" w:rsidRPr="00434F80">
        <w:rPr>
          <w:rFonts w:ascii="David" w:hAnsi="David" w:cs="David"/>
          <w:color w:val="000000"/>
          <w:sz w:val="24"/>
          <w:szCs w:val="24"/>
          <w:shd w:val="clear" w:color="auto" w:fill="FFFFFF"/>
          <w:rtl/>
        </w:rPr>
        <w:t>ו של ד"ר מובשוביץ,</w:t>
      </w:r>
      <w:r w:rsidRPr="00434F80">
        <w:rPr>
          <w:rFonts w:ascii="David" w:hAnsi="David" w:cs="David"/>
          <w:color w:val="000000"/>
          <w:sz w:val="24"/>
          <w:szCs w:val="24"/>
          <w:shd w:val="clear" w:color="auto" w:fill="FFFFFF"/>
          <w:rtl/>
        </w:rPr>
        <w:t xml:space="preserve"> ניתן למנות את </w:t>
      </w:r>
      <w:r w:rsidR="00CE2FA5" w:rsidRPr="00434F80">
        <w:rPr>
          <w:rFonts w:ascii="David" w:hAnsi="David" w:cs="David"/>
          <w:color w:val="000000"/>
          <w:sz w:val="24"/>
          <w:szCs w:val="24"/>
          <w:shd w:val="clear" w:color="auto" w:fill="FFFFFF"/>
          <w:rtl/>
        </w:rPr>
        <w:t>פסק הדין שניתן בעתירת</w:t>
      </w:r>
      <w:r w:rsidR="00CE2FA5" w:rsidRPr="00434F80">
        <w:rPr>
          <w:rFonts w:ascii="David" w:hAnsi="David" w:cs="David"/>
          <w:color w:val="000000"/>
          <w:sz w:val="24"/>
          <w:szCs w:val="24"/>
          <w:shd w:val="clear" w:color="auto" w:fill="FFFFFF"/>
          <w:rtl/>
        </w:rPr>
        <w:t xml:space="preserve"> </w:t>
      </w:r>
      <w:r w:rsidR="00434F80">
        <w:rPr>
          <w:rFonts w:ascii="David" w:hAnsi="David" w:cs="David" w:hint="cs"/>
          <w:color w:val="000000"/>
          <w:sz w:val="24"/>
          <w:szCs w:val="24"/>
          <w:shd w:val="clear" w:color="auto" w:fill="FFFFFF"/>
          <w:rtl/>
        </w:rPr>
        <w:t>משרדו</w:t>
      </w:r>
      <w:r w:rsidR="00CE2FA5" w:rsidRPr="00434F80">
        <w:rPr>
          <w:rFonts w:ascii="David" w:hAnsi="David" w:cs="David"/>
          <w:color w:val="000000"/>
          <w:sz w:val="24"/>
          <w:szCs w:val="24"/>
          <w:shd w:val="clear" w:color="auto" w:fill="FFFFFF"/>
          <w:rtl/>
        </w:rPr>
        <w:t xml:space="preserve"> לבית המשפט</w:t>
      </w:r>
      <w:r w:rsidR="00CE2FA5" w:rsidRPr="00434F80">
        <w:rPr>
          <w:rFonts w:ascii="David" w:hAnsi="David" w:cs="David"/>
          <w:color w:val="000000"/>
          <w:sz w:val="24"/>
          <w:szCs w:val="24"/>
          <w:shd w:val="clear" w:color="auto" w:fill="FFFFFF"/>
          <w:rtl/>
        </w:rPr>
        <w:t xml:space="preserve"> הגבוה לצדק בפרשת </w:t>
      </w:r>
      <w:proofErr w:type="spellStart"/>
      <w:r w:rsidR="00CE2FA5" w:rsidRPr="00434F80">
        <w:rPr>
          <w:rFonts w:ascii="David" w:hAnsi="David" w:cs="David"/>
          <w:color w:val="000000"/>
          <w:sz w:val="24"/>
          <w:szCs w:val="24"/>
          <w:shd w:val="clear" w:color="auto" w:fill="FFFFFF"/>
          <w:rtl/>
        </w:rPr>
        <w:t>זבידובסקי</w:t>
      </w:r>
      <w:proofErr w:type="spellEnd"/>
      <w:r w:rsidRPr="00434F80">
        <w:rPr>
          <w:rFonts w:ascii="David" w:hAnsi="David" w:cs="David"/>
          <w:color w:val="000000"/>
          <w:sz w:val="24"/>
          <w:szCs w:val="24"/>
          <w:shd w:val="clear" w:color="auto" w:fill="FFFFFF"/>
          <w:rtl/>
        </w:rPr>
        <w:t xml:space="preserve"> (בג"צ 10226/08</w:t>
      </w:r>
      <w:r w:rsidR="00CE2FA5" w:rsidRPr="00434F80">
        <w:rPr>
          <w:rFonts w:ascii="David" w:hAnsi="David" w:cs="David"/>
          <w:color w:val="000000"/>
          <w:sz w:val="24"/>
          <w:szCs w:val="24"/>
          <w:shd w:val="clear" w:color="auto" w:fill="FFFFFF"/>
          <w:rtl/>
        </w:rPr>
        <w:t>)</w:t>
      </w:r>
      <w:r w:rsidR="00CE2FA5" w:rsidRPr="00434F80">
        <w:rPr>
          <w:rFonts w:ascii="David" w:hAnsi="David" w:cs="David"/>
          <w:color w:val="000000"/>
          <w:sz w:val="24"/>
          <w:szCs w:val="24"/>
          <w:shd w:val="clear" w:color="auto" w:fill="FFFFFF"/>
          <w:rtl/>
        </w:rPr>
        <w:t xml:space="preserve"> </w:t>
      </w:r>
      <w:r w:rsidR="00997A7C" w:rsidRPr="00434F80">
        <w:rPr>
          <w:rFonts w:ascii="David" w:hAnsi="David" w:cs="David"/>
          <w:color w:val="000000"/>
          <w:sz w:val="24"/>
          <w:szCs w:val="24"/>
          <w:shd w:val="clear" w:color="auto" w:fill="FFFFFF"/>
          <w:rtl/>
        </w:rPr>
        <w:t xml:space="preserve">שם </w:t>
      </w:r>
      <w:r w:rsidR="00CE2FA5" w:rsidRPr="00434F80">
        <w:rPr>
          <w:rFonts w:ascii="David" w:hAnsi="David" w:cs="David"/>
          <w:color w:val="000000"/>
          <w:sz w:val="24"/>
          <w:szCs w:val="24"/>
          <w:shd w:val="clear" w:color="auto" w:fill="FFFFFF"/>
          <w:rtl/>
        </w:rPr>
        <w:t>נקבע</w:t>
      </w:r>
      <w:r w:rsidR="00997A7C" w:rsidRPr="00434F80">
        <w:rPr>
          <w:rFonts w:ascii="David" w:hAnsi="David" w:cs="David"/>
          <w:color w:val="000000"/>
          <w:sz w:val="24"/>
          <w:szCs w:val="24"/>
          <w:shd w:val="clear" w:color="auto" w:fill="FFFFFF"/>
          <w:rtl/>
        </w:rPr>
        <w:t>,</w:t>
      </w:r>
      <w:r w:rsidR="00CE2FA5" w:rsidRPr="00434F80">
        <w:rPr>
          <w:rFonts w:ascii="David" w:hAnsi="David" w:cs="David"/>
          <w:color w:val="000000"/>
          <w:sz w:val="24"/>
          <w:szCs w:val="24"/>
          <w:shd w:val="clear" w:color="auto" w:fill="FFFFFF"/>
          <w:rtl/>
        </w:rPr>
        <w:t xml:space="preserve"> כיצד יש לפרש את  הור</w:t>
      </w:r>
      <w:r w:rsidR="00CE2FA5" w:rsidRPr="00434F80">
        <w:rPr>
          <w:rFonts w:ascii="David" w:hAnsi="David" w:cs="David"/>
          <w:color w:val="000000"/>
          <w:sz w:val="24"/>
          <w:szCs w:val="24"/>
          <w:shd w:val="clear" w:color="auto" w:fill="FFFFFF"/>
          <w:rtl/>
        </w:rPr>
        <w:t xml:space="preserve">אות חוק השבות בשאלת יהדותו של המומר. </w:t>
      </w:r>
      <w:r w:rsidRPr="00434F80">
        <w:rPr>
          <w:rFonts w:ascii="David" w:hAnsi="David" w:cs="David"/>
          <w:color w:val="000000"/>
          <w:sz w:val="24"/>
          <w:szCs w:val="24"/>
          <w:shd w:val="clear" w:color="auto" w:fill="FFFFFF"/>
          <w:rtl/>
        </w:rPr>
        <w:t xml:space="preserve">בעתירת המשרד לבג"צ בשם לשכת עורכי הדין כנגד לימודי משפטים במכללות </w:t>
      </w:r>
      <w:r w:rsidR="00997A7C" w:rsidRPr="00434F80">
        <w:rPr>
          <w:rFonts w:ascii="David" w:hAnsi="David" w:cs="David"/>
          <w:color w:val="000000"/>
          <w:sz w:val="24"/>
          <w:szCs w:val="24"/>
          <w:shd w:val="clear" w:color="auto" w:fill="FFFFFF"/>
          <w:rtl/>
        </w:rPr>
        <w:t>קבע בית המשפט כי יש ליתן את הדעת לטענות הלשכה נוכח חשיבותה של הסוגיה שהועלתה (</w:t>
      </w:r>
      <w:r w:rsidR="00997A7C" w:rsidRPr="00434F80">
        <w:rPr>
          <w:rFonts w:ascii="David" w:hAnsi="David" w:cs="David"/>
          <w:sz w:val="24"/>
          <w:szCs w:val="24"/>
          <w:rtl/>
        </w:rPr>
        <w:t>בג"צ 6467/14</w:t>
      </w:r>
      <w:r w:rsidR="00997A7C" w:rsidRPr="00434F80">
        <w:rPr>
          <w:rFonts w:ascii="David" w:hAnsi="David" w:cs="David"/>
          <w:sz w:val="24"/>
          <w:szCs w:val="24"/>
          <w:rtl/>
        </w:rPr>
        <w:t>)</w:t>
      </w:r>
      <w:r w:rsidR="00997A7C" w:rsidRPr="00434F80">
        <w:rPr>
          <w:rFonts w:ascii="David" w:hAnsi="David" w:cs="David"/>
          <w:color w:val="000000"/>
          <w:sz w:val="24"/>
          <w:szCs w:val="24"/>
          <w:shd w:val="clear" w:color="auto" w:fill="FFFFFF"/>
          <w:rtl/>
        </w:rPr>
        <w:t xml:space="preserve">. בעקבות עתירה שהוגשה </w:t>
      </w:r>
      <w:r w:rsidR="00434F80">
        <w:rPr>
          <w:rFonts w:ascii="David" w:hAnsi="David" w:cs="David" w:hint="cs"/>
          <w:color w:val="000000"/>
          <w:sz w:val="24"/>
          <w:szCs w:val="24"/>
          <w:shd w:val="clear" w:color="auto" w:fill="FFFFFF"/>
          <w:rtl/>
        </w:rPr>
        <w:t xml:space="preserve">באמצעות עו"ד מובשוביץ </w:t>
      </w:r>
      <w:r w:rsidR="00997A7C" w:rsidRPr="00434F80">
        <w:rPr>
          <w:rFonts w:ascii="David" w:hAnsi="David" w:cs="David"/>
          <w:color w:val="000000"/>
          <w:sz w:val="24"/>
          <w:szCs w:val="24"/>
          <w:shd w:val="clear" w:color="auto" w:fill="FFFFFF"/>
          <w:rtl/>
        </w:rPr>
        <w:t>כנגד צה"ל, גויס לראשונה למסלול העתודה האקדמית ולקצונה, מועמד לשירות ביטחון המאובחן כאוטיסט (בג"צ 4248/15).</w:t>
      </w:r>
    </w:p>
    <w:p w:rsidR="00CE2FA5" w:rsidRPr="00434F80" w:rsidRDefault="00CE2FA5" w:rsidP="00997A7C">
      <w:pPr>
        <w:spacing w:line="360" w:lineRule="auto"/>
        <w:jc w:val="both"/>
        <w:rPr>
          <w:rFonts w:ascii="David" w:hAnsi="David" w:cs="David"/>
          <w:color w:val="000000"/>
          <w:sz w:val="24"/>
          <w:szCs w:val="24"/>
          <w:shd w:val="clear" w:color="auto" w:fill="FFFFFF"/>
        </w:rPr>
      </w:pPr>
      <w:r w:rsidRPr="00434F80">
        <w:rPr>
          <w:rFonts w:ascii="David" w:hAnsi="David" w:cs="David"/>
          <w:color w:val="000000"/>
          <w:sz w:val="24"/>
          <w:szCs w:val="24"/>
          <w:shd w:val="clear" w:color="auto" w:fill="FFFFFF"/>
          <w:rtl/>
        </w:rPr>
        <w:t>בתובענה שהוגשה</w:t>
      </w:r>
      <w:r w:rsidRPr="00434F80">
        <w:rPr>
          <w:rFonts w:ascii="David" w:hAnsi="David" w:cs="David"/>
          <w:color w:val="000000"/>
          <w:sz w:val="24"/>
          <w:szCs w:val="24"/>
          <w:shd w:val="clear" w:color="auto" w:fill="FFFFFF"/>
          <w:rtl/>
        </w:rPr>
        <w:t xml:space="preserve"> בשמו של קומיקאי ידוע כנגד השבועון הגרמני הנפוץ בעולם "דר שפיגל", הורחבה סמכות השיפוט הבינלאומית של בתי משפט בישראל על עבירות לשון הרע שעניינן בשואה ובנאצים, גם אם הן מבוצעות בחו"ל</w:t>
      </w:r>
      <w:r w:rsidRPr="00434F80">
        <w:rPr>
          <w:rFonts w:ascii="David" w:hAnsi="David" w:cs="David"/>
          <w:color w:val="000000"/>
          <w:sz w:val="24"/>
          <w:szCs w:val="24"/>
          <w:shd w:val="clear" w:color="auto" w:fill="FFFFFF"/>
          <w:rtl/>
        </w:rPr>
        <w:t xml:space="preserve"> (ע"א</w:t>
      </w:r>
      <w:r w:rsidR="00997A7C" w:rsidRPr="00434F80">
        <w:rPr>
          <w:rFonts w:ascii="David" w:hAnsi="David" w:cs="David"/>
          <w:color w:val="000000"/>
          <w:sz w:val="24"/>
          <w:szCs w:val="24"/>
          <w:shd w:val="clear" w:color="auto" w:fill="FFFFFF"/>
          <w:rtl/>
        </w:rPr>
        <w:t xml:space="preserve"> (י-ם)</w:t>
      </w:r>
      <w:r w:rsidRPr="00434F80">
        <w:rPr>
          <w:rFonts w:ascii="David" w:hAnsi="David" w:cs="David"/>
          <w:color w:val="000000"/>
          <w:sz w:val="24"/>
          <w:szCs w:val="24"/>
          <w:shd w:val="clear" w:color="auto" w:fill="FFFFFF"/>
          <w:rtl/>
        </w:rPr>
        <w:t xml:space="preserve"> </w:t>
      </w:r>
      <w:r w:rsidR="00997A7C" w:rsidRPr="00434F80">
        <w:rPr>
          <w:rFonts w:ascii="David" w:hAnsi="David" w:cs="David"/>
          <w:color w:val="000000"/>
          <w:sz w:val="24"/>
          <w:szCs w:val="24"/>
          <w:shd w:val="clear" w:color="auto" w:fill="FFFFFF"/>
          <w:rtl/>
        </w:rPr>
        <w:t>3543/09</w:t>
      </w:r>
      <w:r w:rsidRPr="00434F80">
        <w:rPr>
          <w:rFonts w:ascii="David" w:hAnsi="David" w:cs="David"/>
          <w:color w:val="000000"/>
          <w:sz w:val="24"/>
          <w:szCs w:val="24"/>
          <w:shd w:val="clear" w:color="auto" w:fill="FFFFFF"/>
          <w:rtl/>
        </w:rPr>
        <w:t>)</w:t>
      </w:r>
      <w:r w:rsidR="00997A7C" w:rsidRPr="00434F80">
        <w:rPr>
          <w:rFonts w:ascii="David" w:hAnsi="David" w:cs="David"/>
          <w:color w:val="000000"/>
          <w:sz w:val="24"/>
          <w:szCs w:val="24"/>
          <w:shd w:val="clear" w:color="auto" w:fill="FFFFFF"/>
          <w:rtl/>
        </w:rPr>
        <w:t xml:space="preserve">. </w:t>
      </w:r>
      <w:r w:rsidRPr="00434F80">
        <w:rPr>
          <w:rFonts w:ascii="David" w:hAnsi="David" w:cs="David"/>
          <w:color w:val="000000"/>
          <w:sz w:val="24"/>
          <w:szCs w:val="24"/>
          <w:shd w:val="clear" w:color="auto" w:fill="FFFFFF"/>
          <w:rtl/>
        </w:rPr>
        <w:t>בבתי המשפט לעניי</w:t>
      </w:r>
      <w:r w:rsidRPr="00434F80">
        <w:rPr>
          <w:rFonts w:ascii="David" w:hAnsi="David" w:cs="David"/>
          <w:color w:val="000000"/>
          <w:sz w:val="24"/>
          <w:szCs w:val="24"/>
          <w:shd w:val="clear" w:color="auto" w:fill="FFFFFF"/>
          <w:rtl/>
        </w:rPr>
        <w:t xml:space="preserve">ני משפחה הוגשו התנגדויות לקיום צוואה בעילות וטענות חדשניות כגון </w:t>
      </w:r>
      <w:r w:rsidRPr="00434F80">
        <w:rPr>
          <w:rFonts w:ascii="David" w:hAnsi="David" w:cs="David"/>
          <w:color w:val="000000"/>
          <w:sz w:val="24"/>
          <w:szCs w:val="24"/>
          <w:shd w:val="clear" w:color="auto" w:fill="FFFFFF"/>
          <w:rtl/>
        </w:rPr>
        <w:t>הפרת כללי "תחרות בלתי הוגנת בין יורשים"</w:t>
      </w:r>
      <w:r w:rsidRPr="00434F80">
        <w:rPr>
          <w:rFonts w:ascii="David" w:hAnsi="David" w:cs="David"/>
          <w:color w:val="000000"/>
          <w:sz w:val="24"/>
          <w:szCs w:val="24"/>
          <w:shd w:val="clear" w:color="auto" w:fill="FFFFFF"/>
          <w:rtl/>
        </w:rPr>
        <w:t xml:space="preserve"> (ת"ע </w:t>
      </w:r>
      <w:r w:rsidR="00434F80" w:rsidRPr="00434F80">
        <w:rPr>
          <w:rFonts w:ascii="David" w:hAnsi="David" w:cs="David"/>
          <w:b/>
          <w:bCs/>
          <w:color w:val="000000"/>
          <w:sz w:val="24"/>
          <w:szCs w:val="24"/>
          <w:shd w:val="clear" w:color="auto" w:fill="FFFFFF"/>
        </w:rPr>
        <w:t>3791-08</w:t>
      </w:r>
      <w:r w:rsidRPr="00434F80">
        <w:rPr>
          <w:rFonts w:ascii="David" w:hAnsi="David" w:cs="David"/>
          <w:color w:val="000000"/>
          <w:sz w:val="24"/>
          <w:szCs w:val="24"/>
          <w:shd w:val="clear" w:color="auto" w:fill="FFFFFF"/>
          <w:rtl/>
        </w:rPr>
        <w:t>)</w:t>
      </w:r>
      <w:r w:rsidRPr="00434F80">
        <w:rPr>
          <w:rFonts w:ascii="David" w:hAnsi="David" w:cs="David"/>
          <w:color w:val="000000"/>
          <w:sz w:val="24"/>
          <w:szCs w:val="24"/>
          <w:shd w:val="clear" w:color="auto" w:fill="FFFFFF"/>
          <w:rtl/>
        </w:rPr>
        <w:t>, ביטול "צוואה שנשתכחה", השלמת שמות יור</w:t>
      </w:r>
      <w:r w:rsidR="002B3915">
        <w:rPr>
          <w:rFonts w:ascii="David" w:hAnsi="David" w:cs="David"/>
          <w:color w:val="000000"/>
          <w:sz w:val="24"/>
          <w:szCs w:val="24"/>
          <w:shd w:val="clear" w:color="auto" w:fill="FFFFFF"/>
          <w:rtl/>
        </w:rPr>
        <w:t>שים לצוואה על יסוד "דיני החסר"</w:t>
      </w:r>
      <w:r w:rsidR="002B3915">
        <w:rPr>
          <w:rFonts w:ascii="David" w:hAnsi="David" w:cs="David" w:hint="cs"/>
          <w:color w:val="000000"/>
          <w:sz w:val="24"/>
          <w:szCs w:val="24"/>
          <w:shd w:val="clear" w:color="auto" w:fill="FFFFFF"/>
          <w:rtl/>
        </w:rPr>
        <w:t xml:space="preserve">, </w:t>
      </w:r>
      <w:r w:rsidRPr="00434F80">
        <w:rPr>
          <w:rFonts w:ascii="David" w:hAnsi="David" w:cs="David"/>
          <w:color w:val="000000"/>
          <w:sz w:val="24"/>
          <w:szCs w:val="24"/>
          <w:shd w:val="clear" w:color="auto" w:fill="FFFFFF"/>
          <w:rtl/>
        </w:rPr>
        <w:t>ביטול צוואה על יסוד העדר השליטה של המצווה במסמך</w:t>
      </w:r>
      <w:r w:rsidR="00F03292" w:rsidRPr="00434F80">
        <w:rPr>
          <w:rFonts w:ascii="David" w:hAnsi="David" w:cs="David"/>
          <w:color w:val="000000"/>
          <w:sz w:val="24"/>
          <w:szCs w:val="24"/>
          <w:shd w:val="clear" w:color="auto" w:fill="FFFFFF"/>
        </w:rPr>
        <w:t xml:space="preserve"> </w:t>
      </w:r>
      <w:r w:rsidR="00F03292" w:rsidRPr="00434F80">
        <w:rPr>
          <w:rFonts w:ascii="David" w:hAnsi="David" w:cs="David"/>
          <w:color w:val="000000"/>
          <w:sz w:val="24"/>
          <w:szCs w:val="24"/>
          <w:shd w:val="clear" w:color="auto" w:fill="FFFFFF"/>
          <w:rtl/>
        </w:rPr>
        <w:t>(ת"</w:t>
      </w:r>
      <w:r w:rsidR="00434F80" w:rsidRPr="00434F80">
        <w:rPr>
          <w:rFonts w:ascii="David" w:hAnsi="David" w:cs="David"/>
          <w:color w:val="000000"/>
          <w:sz w:val="24"/>
          <w:szCs w:val="24"/>
          <w:shd w:val="clear" w:color="auto" w:fill="FFFFFF"/>
          <w:rtl/>
        </w:rPr>
        <w:t>ע (ח-י</w:t>
      </w:r>
      <w:r w:rsidR="00F03292" w:rsidRPr="00434F80">
        <w:rPr>
          <w:rFonts w:ascii="David" w:hAnsi="David" w:cs="David"/>
          <w:color w:val="000000"/>
          <w:sz w:val="24"/>
          <w:szCs w:val="24"/>
          <w:shd w:val="clear" w:color="auto" w:fill="FFFFFF"/>
          <w:rtl/>
        </w:rPr>
        <w:t>)</w:t>
      </w:r>
      <w:r w:rsidR="00434F80" w:rsidRPr="00434F80">
        <w:rPr>
          <w:rFonts w:ascii="David" w:hAnsi="David" w:cs="David"/>
          <w:color w:val="000000"/>
          <w:sz w:val="24"/>
          <w:szCs w:val="24"/>
          <w:shd w:val="clear" w:color="auto" w:fill="FFFFFF"/>
          <w:rtl/>
        </w:rPr>
        <w:t xml:space="preserve"> 33666-06-14) </w:t>
      </w:r>
      <w:r w:rsidR="00F03292" w:rsidRPr="00434F80">
        <w:rPr>
          <w:rFonts w:ascii="David" w:hAnsi="David" w:cs="David"/>
          <w:sz w:val="24"/>
          <w:szCs w:val="24"/>
          <w:rtl/>
        </w:rPr>
        <w:t xml:space="preserve">וכיבוד צוואה הדדית </w:t>
      </w:r>
      <w:bookmarkStart w:id="0" w:name="_GoBack"/>
      <w:bookmarkEnd w:id="0"/>
      <w:r w:rsidR="00F03292" w:rsidRPr="00434F80">
        <w:rPr>
          <w:rFonts w:ascii="David" w:hAnsi="David" w:cs="David"/>
          <w:sz w:val="24"/>
          <w:szCs w:val="24"/>
          <w:rtl/>
        </w:rPr>
        <w:t>בשל מינוי אפוטרופוס על אחד מבני הזוג</w:t>
      </w:r>
      <w:r w:rsidR="00434F80" w:rsidRPr="00434F80">
        <w:rPr>
          <w:rFonts w:ascii="David" w:hAnsi="David" w:cs="David"/>
          <w:sz w:val="24"/>
          <w:szCs w:val="24"/>
          <w:rtl/>
        </w:rPr>
        <w:t xml:space="preserve"> (ת"ע 20596-12-16)</w:t>
      </w:r>
      <w:r w:rsidR="00F03292" w:rsidRPr="00434F80">
        <w:rPr>
          <w:rFonts w:ascii="David" w:hAnsi="David" w:cs="David"/>
          <w:sz w:val="24"/>
          <w:szCs w:val="24"/>
          <w:rtl/>
        </w:rPr>
        <w:t>.</w:t>
      </w:r>
    </w:p>
    <w:p w:rsidR="00CE2FA5" w:rsidRPr="00997A7C" w:rsidRDefault="00CE2FA5">
      <w:pPr>
        <w:rPr>
          <w:rFonts w:ascii="David" w:hAnsi="David" w:cs="David"/>
          <w:sz w:val="24"/>
          <w:szCs w:val="24"/>
          <w:rtl/>
        </w:rPr>
      </w:pPr>
    </w:p>
    <w:sectPr w:rsidR="00CE2FA5" w:rsidRPr="00997A7C" w:rsidSect="008051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FA5"/>
    <w:rsid w:val="002B3915"/>
    <w:rsid w:val="00434F80"/>
    <w:rsid w:val="004550D5"/>
    <w:rsid w:val="0080510F"/>
    <w:rsid w:val="00997A7C"/>
    <w:rsid w:val="00CE2FA5"/>
    <w:rsid w:val="00F032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FA2B"/>
  <w15:chartTrackingRefBased/>
  <w15:docId w15:val="{01D7DEEA-7A74-42C0-AA3A-7C4718E5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unhideWhenUsed/>
    <w:rsid w:val="00997A7C"/>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431995">
      <w:bodyDiv w:val="1"/>
      <w:marLeft w:val="0"/>
      <w:marRight w:val="0"/>
      <w:marTop w:val="0"/>
      <w:marBottom w:val="0"/>
      <w:divBdr>
        <w:top w:val="none" w:sz="0" w:space="0" w:color="auto"/>
        <w:left w:val="none" w:sz="0" w:space="0" w:color="auto"/>
        <w:bottom w:val="none" w:sz="0" w:space="0" w:color="auto"/>
        <w:right w:val="none" w:sz="0" w:space="0" w:color="auto"/>
      </w:divBdr>
      <w:divsChild>
        <w:div w:id="1485314077">
          <w:marLeft w:val="0"/>
          <w:marRight w:val="0"/>
          <w:marTop w:val="0"/>
          <w:marBottom w:val="0"/>
          <w:divBdr>
            <w:top w:val="none" w:sz="0" w:space="0" w:color="auto"/>
            <w:left w:val="none" w:sz="0" w:space="0" w:color="auto"/>
            <w:bottom w:val="none" w:sz="0" w:space="0" w:color="auto"/>
            <w:right w:val="none" w:sz="0" w:space="0" w:color="auto"/>
          </w:divBdr>
        </w:div>
      </w:divsChild>
    </w:div>
    <w:div w:id="1026642172">
      <w:bodyDiv w:val="1"/>
      <w:marLeft w:val="0"/>
      <w:marRight w:val="0"/>
      <w:marTop w:val="0"/>
      <w:marBottom w:val="0"/>
      <w:divBdr>
        <w:top w:val="none" w:sz="0" w:space="0" w:color="auto"/>
        <w:left w:val="none" w:sz="0" w:space="0" w:color="auto"/>
        <w:bottom w:val="none" w:sz="0" w:space="0" w:color="auto"/>
        <w:right w:val="none" w:sz="0" w:space="0" w:color="auto"/>
      </w:divBdr>
      <w:divsChild>
        <w:div w:id="141466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247</Words>
  <Characters>1240</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Mov</dc:creator>
  <cp:keywords/>
  <dc:description/>
  <cp:lastModifiedBy>Ran Mov</cp:lastModifiedBy>
  <cp:revision>2</cp:revision>
  <dcterms:created xsi:type="dcterms:W3CDTF">2017-08-07T18:35:00Z</dcterms:created>
  <dcterms:modified xsi:type="dcterms:W3CDTF">2017-08-07T19:15:00Z</dcterms:modified>
</cp:coreProperties>
</file>