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36D0" w:rsidRDefault="00DA54D5" w:rsidP="002236D0">
      <w:pPr>
        <w:spacing w:line="240" w:lineRule="auto"/>
        <w:rPr>
          <w:rFonts w:hint="cs"/>
          <w:b/>
          <w:bCs/>
          <w:sz w:val="28"/>
          <w:szCs w:val="28"/>
          <w:u w:val="single"/>
          <w:rtl/>
        </w:rPr>
      </w:pPr>
      <w:r>
        <w:rPr>
          <w:rFonts w:hint="cs"/>
          <w:rtl/>
        </w:rPr>
        <w:t xml:space="preserve">                           </w:t>
      </w:r>
      <w:r w:rsidR="009E7914">
        <w:rPr>
          <w:rFonts w:hint="cs"/>
          <w:rtl/>
        </w:rPr>
        <w:t xml:space="preserve">        </w:t>
      </w:r>
      <w:r>
        <w:rPr>
          <w:rFonts w:hint="cs"/>
          <w:rtl/>
        </w:rPr>
        <w:t xml:space="preserve"> </w:t>
      </w:r>
      <w:r w:rsidRPr="00DA54D5">
        <w:rPr>
          <w:rFonts w:hint="cs"/>
          <w:b/>
          <w:bCs/>
          <w:sz w:val="28"/>
          <w:szCs w:val="28"/>
          <w:u w:val="single"/>
          <w:rtl/>
        </w:rPr>
        <w:t>סמכות הבורר להחליט בשאלת סמכותו</w:t>
      </w:r>
      <w:r w:rsidR="00FD2129">
        <w:rPr>
          <w:rFonts w:hint="cs"/>
          <w:b/>
          <w:bCs/>
          <w:sz w:val="28"/>
          <w:szCs w:val="28"/>
          <w:u w:val="single"/>
          <w:rtl/>
        </w:rPr>
        <w:t xml:space="preserve"> </w:t>
      </w:r>
    </w:p>
    <w:p w:rsidR="002236D0" w:rsidRDefault="002236D0" w:rsidP="002236D0">
      <w:pPr>
        <w:spacing w:line="240" w:lineRule="auto"/>
        <w:rPr>
          <w:rFonts w:hint="cs"/>
          <w:sz w:val="28"/>
          <w:szCs w:val="28"/>
          <w:rtl/>
        </w:rPr>
      </w:pPr>
      <w:r w:rsidRPr="002236D0">
        <w:rPr>
          <w:rFonts w:hint="cs"/>
          <w:sz w:val="28"/>
          <w:szCs w:val="28"/>
          <w:rtl/>
        </w:rPr>
        <w:t xml:space="preserve">                                      השופט (בדימוס) אמנון סטרשנוב</w:t>
      </w:r>
      <w:r w:rsidR="00FD2129" w:rsidRPr="002236D0">
        <w:rPr>
          <w:rFonts w:hint="cs"/>
          <w:sz w:val="28"/>
          <w:szCs w:val="28"/>
          <w:rtl/>
        </w:rPr>
        <w:t xml:space="preserve">     </w:t>
      </w:r>
    </w:p>
    <w:p w:rsidR="00FD2129" w:rsidRPr="002236D0" w:rsidRDefault="00FD2129" w:rsidP="002236D0">
      <w:pPr>
        <w:spacing w:line="240" w:lineRule="auto"/>
        <w:rPr>
          <w:sz w:val="28"/>
          <w:szCs w:val="28"/>
          <w:rtl/>
        </w:rPr>
      </w:pPr>
      <w:r w:rsidRPr="002236D0">
        <w:rPr>
          <w:rFonts w:hint="cs"/>
          <w:sz w:val="28"/>
          <w:szCs w:val="28"/>
          <w:rtl/>
        </w:rPr>
        <w:t xml:space="preserve">                       </w:t>
      </w:r>
    </w:p>
    <w:p w:rsidR="00DA54D5" w:rsidRDefault="00DA54D5" w:rsidP="00DA54D5">
      <w:pPr>
        <w:spacing w:line="276" w:lineRule="auto"/>
        <w:rPr>
          <w:sz w:val="24"/>
          <w:rtl/>
        </w:rPr>
      </w:pPr>
      <w:r>
        <w:rPr>
          <w:rFonts w:hint="cs"/>
          <w:sz w:val="24"/>
          <w:rtl/>
        </w:rPr>
        <w:t>"</w:t>
      </w:r>
      <w:r w:rsidRPr="00DA54D5">
        <w:rPr>
          <w:rFonts w:hint="cs"/>
          <w:sz w:val="24"/>
          <w:rtl/>
        </w:rPr>
        <w:t>היקף סמכותו של הבורר עולה מתוך ההסכם שנערך בין הצדדים המתדיינים בבוררות.</w:t>
      </w:r>
      <w:r>
        <w:rPr>
          <w:rFonts w:hint="cs"/>
          <w:sz w:val="24"/>
          <w:rtl/>
        </w:rPr>
        <w:t xml:space="preserve"> אין לבורר, </w:t>
      </w:r>
      <w:r w:rsidR="008A3D9D">
        <w:rPr>
          <w:rFonts w:hint="cs"/>
          <w:sz w:val="24"/>
          <w:rtl/>
        </w:rPr>
        <w:t xml:space="preserve">כמקובל בדין שלנו, סמכות להחליט </w:t>
      </w:r>
      <w:r>
        <w:rPr>
          <w:rFonts w:hint="cs"/>
          <w:sz w:val="24"/>
          <w:rtl/>
        </w:rPr>
        <w:t>בשאלה מהי סמכותו ומה היקפה, אלא אם כן הסמיכוהו לכך הצדדים במפורש.</w:t>
      </w:r>
      <w:r w:rsidR="002236D0">
        <w:rPr>
          <w:rFonts w:hint="cs"/>
          <w:sz w:val="24"/>
          <w:rtl/>
        </w:rPr>
        <w:t xml:space="preserve"> </w:t>
      </w:r>
      <w:r>
        <w:rPr>
          <w:rFonts w:hint="cs"/>
          <w:sz w:val="24"/>
          <w:rtl/>
        </w:rPr>
        <w:t>כל שאלה המתעוררת בהקשר זה על הבורר להעביר לידיו של בית-המשפט המוסמך" (</w:t>
      </w:r>
      <w:r w:rsidR="00885F34">
        <w:rPr>
          <w:rFonts w:hint="cs"/>
          <w:b/>
          <w:bCs/>
          <w:sz w:val="24"/>
          <w:rtl/>
        </w:rPr>
        <w:t>"</w:t>
      </w:r>
      <w:r w:rsidRPr="00885F34">
        <w:rPr>
          <w:rFonts w:hint="cs"/>
          <w:b/>
          <w:bCs/>
          <w:sz w:val="24"/>
          <w:rtl/>
        </w:rPr>
        <w:t>בוררות</w:t>
      </w:r>
      <w:r>
        <w:rPr>
          <w:rFonts w:hint="cs"/>
          <w:sz w:val="24"/>
          <w:rtl/>
        </w:rPr>
        <w:t xml:space="preserve"> </w:t>
      </w:r>
      <w:r>
        <w:rPr>
          <w:sz w:val="24"/>
          <w:rtl/>
        </w:rPr>
        <w:t>–</w:t>
      </w:r>
      <w:r>
        <w:rPr>
          <w:rFonts w:hint="cs"/>
          <w:sz w:val="24"/>
          <w:rtl/>
        </w:rPr>
        <w:t xml:space="preserve"> </w:t>
      </w:r>
      <w:r w:rsidRPr="008A3D9D">
        <w:rPr>
          <w:rFonts w:hint="cs"/>
          <w:b/>
          <w:bCs/>
          <w:sz w:val="24"/>
          <w:rtl/>
        </w:rPr>
        <w:t>הסמכות להכריע בשאלת הסמכות</w:t>
      </w:r>
      <w:r w:rsidR="008A3D9D">
        <w:rPr>
          <w:rFonts w:hint="cs"/>
          <w:b/>
          <w:bCs/>
          <w:sz w:val="24"/>
          <w:rtl/>
        </w:rPr>
        <w:t>"</w:t>
      </w:r>
      <w:r>
        <w:rPr>
          <w:rFonts w:hint="cs"/>
          <w:sz w:val="24"/>
          <w:rtl/>
        </w:rPr>
        <w:t>, הנשיא מאיר שמגר, משפט ועסקים א', התשס"ד, עמ' 83).</w:t>
      </w:r>
    </w:p>
    <w:p w:rsidR="008A3D9D" w:rsidRDefault="008A3D9D" w:rsidP="008A3D9D">
      <w:pPr>
        <w:spacing w:line="276" w:lineRule="auto"/>
        <w:rPr>
          <w:sz w:val="24"/>
          <w:rtl/>
        </w:rPr>
      </w:pPr>
      <w:r>
        <w:rPr>
          <w:rFonts w:hint="cs"/>
          <w:sz w:val="24"/>
          <w:rtl/>
        </w:rPr>
        <w:t xml:space="preserve">הלכה זו מבוססת על פסיקה עתיקת יומין ועל מאמרי המלומדים. עוד בבר"ע 130/71 </w:t>
      </w:r>
      <w:r w:rsidRPr="008B6141">
        <w:rPr>
          <w:rFonts w:hint="cs"/>
          <w:b/>
          <w:bCs/>
          <w:sz w:val="24"/>
          <w:rtl/>
        </w:rPr>
        <w:t>משיח נ.</w:t>
      </w:r>
      <w:r>
        <w:rPr>
          <w:rFonts w:hint="cs"/>
          <w:sz w:val="24"/>
          <w:rtl/>
        </w:rPr>
        <w:t xml:space="preserve"> </w:t>
      </w:r>
      <w:r w:rsidRPr="008B6141">
        <w:rPr>
          <w:rFonts w:hint="cs"/>
          <w:b/>
          <w:bCs/>
          <w:sz w:val="24"/>
          <w:rtl/>
        </w:rPr>
        <w:t>רביע</w:t>
      </w:r>
      <w:r>
        <w:rPr>
          <w:rFonts w:hint="cs"/>
          <w:sz w:val="24"/>
          <w:rtl/>
        </w:rPr>
        <w:t xml:space="preserve">, פ"ד כה (2)572, 574 נקבע מפי מ"מ הנשיא </w:t>
      </w:r>
      <w:r w:rsidR="004652C8">
        <w:rPr>
          <w:rFonts w:hint="cs"/>
          <w:sz w:val="24"/>
          <w:rtl/>
        </w:rPr>
        <w:t>זוסמן, בזו הלשון:</w:t>
      </w:r>
    </w:p>
    <w:p w:rsidR="004652C8" w:rsidRDefault="004652C8" w:rsidP="008A3D9D">
      <w:pPr>
        <w:spacing w:line="276" w:lineRule="auto"/>
        <w:rPr>
          <w:b/>
          <w:bCs/>
          <w:sz w:val="24"/>
          <w:rtl/>
        </w:rPr>
      </w:pPr>
      <w:r w:rsidRPr="006603F2">
        <w:rPr>
          <w:rFonts w:hint="cs"/>
          <w:b/>
          <w:bCs/>
          <w:sz w:val="24"/>
          <w:rtl/>
        </w:rPr>
        <w:t>"אכן דין הוא, שמקום שסמכות הבורר מוטלת בספק, נבצר מהבורר לפסוק בכך. סמכות השיפוט של בורר נובעת מהסכם בוררות בר-תוקף; אם ישלול הבורר תקפו של חוזה המכיל הסכם הבוררות, יוצא שלא היה מוסמך לכך, שכן באין הסכם בוררות</w:t>
      </w:r>
      <w:r w:rsidR="00F71756">
        <w:rPr>
          <w:rFonts w:hint="cs"/>
          <w:b/>
          <w:bCs/>
          <w:sz w:val="24"/>
          <w:rtl/>
        </w:rPr>
        <w:t xml:space="preserve"> </w:t>
      </w:r>
      <w:r w:rsidRPr="006603F2">
        <w:rPr>
          <w:rFonts w:hint="cs"/>
          <w:b/>
          <w:bCs/>
          <w:sz w:val="24"/>
          <w:rtl/>
        </w:rPr>
        <w:t>אינו רשאי לדון, ממילא אינו יכול להכריע בסמכותו הוא, אף לא לשלילה".</w:t>
      </w:r>
    </w:p>
    <w:p w:rsidR="006603F2" w:rsidRDefault="006603F2" w:rsidP="00664985">
      <w:pPr>
        <w:spacing w:line="276" w:lineRule="auto"/>
        <w:rPr>
          <w:b/>
          <w:bCs/>
          <w:sz w:val="24"/>
          <w:rtl/>
        </w:rPr>
      </w:pPr>
      <w:r>
        <w:rPr>
          <w:rFonts w:hint="cs"/>
          <w:sz w:val="24"/>
          <w:rtl/>
        </w:rPr>
        <w:t xml:space="preserve">קביעה נחרצת זו רוככה במקצת ע"י השופטת מ' בן-פורת, בע"א 445/80 </w:t>
      </w:r>
      <w:r w:rsidRPr="008B6141">
        <w:rPr>
          <w:rFonts w:hint="cs"/>
          <w:b/>
          <w:bCs/>
          <w:sz w:val="24"/>
          <w:rtl/>
        </w:rPr>
        <w:t>ג'ברה נ. המועצה</w:t>
      </w:r>
      <w:r w:rsidR="008B6141">
        <w:rPr>
          <w:rFonts w:hint="cs"/>
          <w:sz w:val="24"/>
          <w:rtl/>
        </w:rPr>
        <w:t xml:space="preserve"> </w:t>
      </w:r>
      <w:r w:rsidR="008B6141" w:rsidRPr="008B6141">
        <w:rPr>
          <w:rFonts w:hint="cs"/>
          <w:b/>
          <w:bCs/>
          <w:sz w:val="24"/>
          <w:rtl/>
        </w:rPr>
        <w:t>ה</w:t>
      </w:r>
      <w:r w:rsidRPr="008B6141">
        <w:rPr>
          <w:rFonts w:hint="cs"/>
          <w:b/>
          <w:bCs/>
          <w:sz w:val="24"/>
          <w:rtl/>
        </w:rPr>
        <w:t>אזורית בקעת בית-שאן,</w:t>
      </w:r>
      <w:r>
        <w:rPr>
          <w:rFonts w:hint="cs"/>
          <w:sz w:val="24"/>
          <w:rtl/>
        </w:rPr>
        <w:t xml:space="preserve"> פ"ד לז</w:t>
      </w:r>
      <w:r w:rsidR="008B6141">
        <w:rPr>
          <w:rFonts w:hint="cs"/>
          <w:sz w:val="24"/>
          <w:rtl/>
        </w:rPr>
        <w:t xml:space="preserve"> </w:t>
      </w:r>
      <w:r>
        <w:rPr>
          <w:rFonts w:hint="cs"/>
          <w:sz w:val="24"/>
          <w:rtl/>
        </w:rPr>
        <w:t>(1)</w:t>
      </w:r>
      <w:r w:rsidR="008B6141">
        <w:rPr>
          <w:rFonts w:hint="cs"/>
          <w:sz w:val="24"/>
          <w:rtl/>
        </w:rPr>
        <w:t xml:space="preserve"> </w:t>
      </w:r>
      <w:r>
        <w:rPr>
          <w:rFonts w:hint="cs"/>
          <w:sz w:val="24"/>
          <w:rtl/>
        </w:rPr>
        <w:t>421, 426-7</w:t>
      </w:r>
      <w:r w:rsidR="00664985">
        <w:rPr>
          <w:rFonts w:hint="cs"/>
          <w:sz w:val="24"/>
          <w:rtl/>
        </w:rPr>
        <w:t xml:space="preserve">, לאמור, הבורר אינו מנוע </w:t>
      </w:r>
      <w:r w:rsidR="00664985" w:rsidRPr="00664985">
        <w:rPr>
          <w:rFonts w:hint="cs"/>
          <w:b/>
          <w:bCs/>
          <w:sz w:val="24"/>
          <w:rtl/>
        </w:rPr>
        <w:t>מלדון</w:t>
      </w:r>
      <w:r w:rsidR="00664985">
        <w:rPr>
          <w:rFonts w:hint="cs"/>
          <w:sz w:val="24"/>
          <w:rtl/>
        </w:rPr>
        <w:t xml:space="preserve"> בשאלות הנוגעות לסמכותו </w:t>
      </w:r>
      <w:r w:rsidR="00664985" w:rsidRPr="00F71756">
        <w:rPr>
          <w:rFonts w:hint="cs"/>
          <w:b/>
          <w:bCs/>
          <w:sz w:val="24"/>
          <w:rtl/>
        </w:rPr>
        <w:t>ולקבוע עמדתו</w:t>
      </w:r>
      <w:r w:rsidR="00664985">
        <w:rPr>
          <w:rFonts w:hint="cs"/>
          <w:sz w:val="24"/>
          <w:rtl/>
        </w:rPr>
        <w:t xml:space="preserve"> לגביהן, אולם קביעותיו פתוחות לדיון בפני בית</w:t>
      </w:r>
      <w:r w:rsidR="00F71756">
        <w:rPr>
          <w:rFonts w:hint="cs"/>
          <w:sz w:val="24"/>
          <w:rtl/>
        </w:rPr>
        <w:t xml:space="preserve"> </w:t>
      </w:r>
      <w:r w:rsidR="00664985">
        <w:rPr>
          <w:rFonts w:hint="cs"/>
          <w:sz w:val="24"/>
          <w:rtl/>
        </w:rPr>
        <w:t xml:space="preserve"> </w:t>
      </w:r>
      <w:r w:rsidR="00F71756">
        <w:rPr>
          <w:rFonts w:hint="cs"/>
          <w:sz w:val="24"/>
          <w:rtl/>
        </w:rPr>
        <w:t>ה</w:t>
      </w:r>
      <w:r w:rsidR="00664985">
        <w:rPr>
          <w:rFonts w:hint="cs"/>
          <w:sz w:val="24"/>
          <w:rtl/>
        </w:rPr>
        <w:t xml:space="preserve">משפט </w:t>
      </w:r>
      <w:r w:rsidR="00664985" w:rsidRPr="00664985">
        <w:rPr>
          <w:rFonts w:hint="cs"/>
          <w:b/>
          <w:bCs/>
          <w:sz w:val="24"/>
          <w:rtl/>
        </w:rPr>
        <w:t xml:space="preserve">"אשר הוא ורק הוא מוסמך להחליט בה </w:t>
      </w:r>
      <w:r w:rsidR="00664985" w:rsidRPr="00664985">
        <w:rPr>
          <w:rFonts w:hint="cs"/>
          <w:b/>
          <w:bCs/>
          <w:sz w:val="24"/>
          <w:u w:val="single"/>
          <w:rtl/>
        </w:rPr>
        <w:t>סופית</w:t>
      </w:r>
      <w:r w:rsidR="00664985" w:rsidRPr="00664985">
        <w:rPr>
          <w:rFonts w:hint="cs"/>
          <w:b/>
          <w:bCs/>
          <w:sz w:val="24"/>
          <w:rtl/>
        </w:rPr>
        <w:t>".</w:t>
      </w:r>
    </w:p>
    <w:p w:rsidR="00664985" w:rsidRDefault="00664985" w:rsidP="00664985">
      <w:pPr>
        <w:spacing w:line="276" w:lineRule="auto"/>
        <w:rPr>
          <w:sz w:val="24"/>
          <w:rtl/>
        </w:rPr>
      </w:pPr>
      <w:r w:rsidRPr="00664985">
        <w:rPr>
          <w:rFonts w:hint="cs"/>
          <w:sz w:val="24"/>
          <w:rtl/>
        </w:rPr>
        <w:t>מסכמת את ההלכה הקיימת המלומדת פרופ' סמדר אוטולנגי, בספרה</w:t>
      </w:r>
      <w:r>
        <w:rPr>
          <w:rFonts w:hint="cs"/>
          <w:b/>
          <w:bCs/>
          <w:sz w:val="24"/>
          <w:rtl/>
        </w:rPr>
        <w:t xml:space="preserve"> "בוררות </w:t>
      </w:r>
      <w:r>
        <w:rPr>
          <w:b/>
          <w:bCs/>
          <w:sz w:val="24"/>
          <w:rtl/>
        </w:rPr>
        <w:t>–</w:t>
      </w:r>
      <w:r>
        <w:rPr>
          <w:rFonts w:hint="cs"/>
          <w:b/>
          <w:bCs/>
          <w:sz w:val="24"/>
          <w:rtl/>
        </w:rPr>
        <w:t xml:space="preserve"> דין ונוהל", </w:t>
      </w:r>
      <w:r>
        <w:rPr>
          <w:rFonts w:hint="cs"/>
          <w:sz w:val="24"/>
          <w:rtl/>
        </w:rPr>
        <w:t>(</w:t>
      </w:r>
      <w:r w:rsidRPr="00664985">
        <w:rPr>
          <w:rFonts w:hint="cs"/>
          <w:sz w:val="24"/>
          <w:rtl/>
        </w:rPr>
        <w:t>מהדורה רביעית מיוחדת)</w:t>
      </w:r>
      <w:r>
        <w:rPr>
          <w:rFonts w:hint="cs"/>
          <w:b/>
          <w:bCs/>
          <w:sz w:val="24"/>
          <w:rtl/>
        </w:rPr>
        <w:t xml:space="preserve">, </w:t>
      </w:r>
      <w:r w:rsidRPr="00664985">
        <w:rPr>
          <w:rFonts w:hint="cs"/>
          <w:sz w:val="24"/>
          <w:rtl/>
        </w:rPr>
        <w:t xml:space="preserve">583 </w:t>
      </w:r>
      <w:r w:rsidRPr="00664985">
        <w:rPr>
          <w:sz w:val="24"/>
          <w:rtl/>
        </w:rPr>
        <w:t>–</w:t>
      </w:r>
      <w:r w:rsidRPr="00664985">
        <w:rPr>
          <w:rFonts w:hint="cs"/>
          <w:sz w:val="24"/>
          <w:rtl/>
        </w:rPr>
        <w:t xml:space="preserve"> 586</w:t>
      </w:r>
      <w:r>
        <w:rPr>
          <w:rFonts w:hint="cs"/>
          <w:sz w:val="24"/>
          <w:rtl/>
        </w:rPr>
        <w:t>, באלו המלים:</w:t>
      </w:r>
    </w:p>
    <w:p w:rsidR="00664985" w:rsidRDefault="00664985" w:rsidP="00664985">
      <w:pPr>
        <w:spacing w:line="276" w:lineRule="auto"/>
        <w:rPr>
          <w:b/>
          <w:bCs/>
          <w:sz w:val="24"/>
          <w:rtl/>
        </w:rPr>
      </w:pPr>
      <w:r w:rsidRPr="002F01F5">
        <w:rPr>
          <w:rFonts w:hint="cs"/>
          <w:b/>
          <w:bCs/>
          <w:sz w:val="24"/>
          <w:rtl/>
        </w:rPr>
        <w:t>"אם מתעורר ספק בדבר</w:t>
      </w:r>
      <w:r w:rsidR="002F01F5" w:rsidRPr="002F01F5">
        <w:rPr>
          <w:rFonts w:hint="cs"/>
          <w:b/>
          <w:bCs/>
          <w:sz w:val="24"/>
          <w:rtl/>
        </w:rPr>
        <w:t xml:space="preserve"> </w:t>
      </w:r>
      <w:r w:rsidRPr="002F01F5">
        <w:rPr>
          <w:rFonts w:hint="cs"/>
          <w:b/>
          <w:bCs/>
          <w:sz w:val="24"/>
          <w:rtl/>
        </w:rPr>
        <w:t>תוקף ההסכם או</w:t>
      </w:r>
      <w:r w:rsidR="002F01F5" w:rsidRPr="002F01F5">
        <w:rPr>
          <w:rFonts w:hint="cs"/>
          <w:b/>
          <w:bCs/>
          <w:sz w:val="24"/>
          <w:rtl/>
        </w:rPr>
        <w:t xml:space="preserve"> </w:t>
      </w:r>
      <w:r w:rsidRPr="002F01F5">
        <w:rPr>
          <w:rFonts w:hint="cs"/>
          <w:b/>
          <w:bCs/>
          <w:sz w:val="24"/>
          <w:rtl/>
        </w:rPr>
        <w:t xml:space="preserve">בדבר הפירוש שיש לתת לו </w:t>
      </w:r>
      <w:r w:rsidRPr="002F01F5">
        <w:rPr>
          <w:b/>
          <w:bCs/>
          <w:sz w:val="24"/>
          <w:rtl/>
        </w:rPr>
        <w:t>–</w:t>
      </w:r>
      <w:r w:rsidRPr="002F01F5">
        <w:rPr>
          <w:rFonts w:hint="cs"/>
          <w:b/>
          <w:bCs/>
          <w:sz w:val="24"/>
          <w:rtl/>
        </w:rPr>
        <w:t xml:space="preserve"> תימסר ההכרעה</w:t>
      </w:r>
      <w:r w:rsidR="002F01F5" w:rsidRPr="002F01F5">
        <w:rPr>
          <w:rFonts w:hint="cs"/>
          <w:b/>
          <w:bCs/>
          <w:sz w:val="24"/>
          <w:rtl/>
        </w:rPr>
        <w:t xml:space="preserve"> </w:t>
      </w:r>
      <w:r w:rsidRPr="002F01F5">
        <w:rPr>
          <w:rFonts w:hint="cs"/>
          <w:b/>
          <w:bCs/>
          <w:sz w:val="24"/>
          <w:rtl/>
        </w:rPr>
        <w:t>בענין לביהמ"ש; שכן איזה טעם יש במסירת</w:t>
      </w:r>
      <w:r w:rsidR="002F01F5" w:rsidRPr="002F01F5">
        <w:rPr>
          <w:rFonts w:hint="cs"/>
          <w:b/>
          <w:bCs/>
          <w:sz w:val="24"/>
          <w:rtl/>
        </w:rPr>
        <w:t xml:space="preserve"> ההכרעה בדבר היקף סמכותו לבורר עצמו? הן אם יגיע הבורר למסקנה שאין לו סמכות </w:t>
      </w:r>
      <w:r w:rsidR="002F01F5" w:rsidRPr="002F01F5">
        <w:rPr>
          <w:b/>
          <w:bCs/>
          <w:sz w:val="24"/>
          <w:rtl/>
        </w:rPr>
        <w:t>–</w:t>
      </w:r>
      <w:r w:rsidR="002F01F5" w:rsidRPr="002F01F5">
        <w:rPr>
          <w:rFonts w:hint="cs"/>
          <w:b/>
          <w:bCs/>
          <w:sz w:val="24"/>
          <w:rtl/>
        </w:rPr>
        <w:t xml:space="preserve"> מכוח מה החליט שאין לו סמכות? אכן, בניגוד לשיטות משפט אחרות, אצלנו אין בורר מוסמך להכריע בנוגע לסמכותו שלו עצמו..."</w:t>
      </w:r>
      <w:r w:rsidR="00F71756">
        <w:rPr>
          <w:rFonts w:hint="cs"/>
          <w:b/>
          <w:bCs/>
          <w:sz w:val="24"/>
          <w:rtl/>
        </w:rPr>
        <w:t>.</w:t>
      </w:r>
    </w:p>
    <w:p w:rsidR="00F71756" w:rsidRDefault="00F71756" w:rsidP="00F71756">
      <w:pPr>
        <w:spacing w:line="276" w:lineRule="auto"/>
        <w:rPr>
          <w:sz w:val="24"/>
          <w:rtl/>
        </w:rPr>
      </w:pPr>
      <w:r>
        <w:rPr>
          <w:rFonts w:hint="cs"/>
          <w:sz w:val="24"/>
          <w:rtl/>
        </w:rPr>
        <w:t>זהו אכן, הדין המצוי במקומותינו ולפיו, אין הבורר מוסמך לדון בשאלת סמכותו, אלא אם הוענקה לו לכך הסכמה מפורשת של הצדדים או שהסכם הבוררות או כללי הבוררות במוסד בו מתנהלת הבוררות, מתירים זאת (ראה כלל 5.8 לכללי המוסד לבוררות עסקית, מיום 28.9.2004).</w:t>
      </w:r>
    </w:p>
    <w:p w:rsidR="00F71756" w:rsidRDefault="00F71756" w:rsidP="0011085D">
      <w:pPr>
        <w:spacing w:line="276" w:lineRule="auto"/>
        <w:rPr>
          <w:sz w:val="24"/>
          <w:rtl/>
        </w:rPr>
      </w:pPr>
      <w:r>
        <w:rPr>
          <w:rFonts w:hint="cs"/>
          <w:sz w:val="24"/>
          <w:rtl/>
        </w:rPr>
        <w:t>אולם נשאלת השאלה אם זהו גם הדין ה</w:t>
      </w:r>
      <w:r w:rsidR="00885F34">
        <w:rPr>
          <w:rFonts w:hint="cs"/>
          <w:sz w:val="24"/>
          <w:rtl/>
        </w:rPr>
        <w:t>ר</w:t>
      </w:r>
      <w:r>
        <w:rPr>
          <w:rFonts w:hint="cs"/>
          <w:sz w:val="24"/>
          <w:rtl/>
        </w:rPr>
        <w:t>צוי, ותשובתי לכך, עם</w:t>
      </w:r>
      <w:r w:rsidR="00A16FBC">
        <w:rPr>
          <w:rFonts w:hint="cs"/>
          <w:sz w:val="24"/>
          <w:rtl/>
        </w:rPr>
        <w:t xml:space="preserve"> כול </w:t>
      </w:r>
      <w:r w:rsidR="00053ED6">
        <w:rPr>
          <w:rFonts w:hint="cs"/>
          <w:sz w:val="24"/>
          <w:rtl/>
        </w:rPr>
        <w:t>הכבוד, שלילית.</w:t>
      </w:r>
      <w:r>
        <w:rPr>
          <w:rFonts w:hint="cs"/>
          <w:sz w:val="24"/>
          <w:rtl/>
        </w:rPr>
        <w:t xml:space="preserve"> </w:t>
      </w:r>
      <w:r w:rsidR="00A16FBC">
        <w:rPr>
          <w:rFonts w:hint="cs"/>
          <w:sz w:val="24"/>
          <w:rtl/>
        </w:rPr>
        <w:t xml:space="preserve"> </w:t>
      </w:r>
      <w:r w:rsidR="00885F34">
        <w:rPr>
          <w:rFonts w:hint="cs"/>
          <w:sz w:val="24"/>
          <w:rtl/>
        </w:rPr>
        <w:t xml:space="preserve"> </w:t>
      </w:r>
      <w:r w:rsidR="00A16FBC">
        <w:rPr>
          <w:rFonts w:hint="cs"/>
          <w:sz w:val="24"/>
          <w:rtl/>
        </w:rPr>
        <w:t xml:space="preserve">      </w:t>
      </w:r>
      <w:r>
        <w:rPr>
          <w:rFonts w:hint="cs"/>
          <w:sz w:val="24"/>
          <w:rtl/>
        </w:rPr>
        <w:t xml:space="preserve">ראשית, בשיטות משפט זרות </w:t>
      </w:r>
      <w:r w:rsidR="00A16FBC">
        <w:rPr>
          <w:rFonts w:hint="cs"/>
          <w:sz w:val="24"/>
          <w:rtl/>
        </w:rPr>
        <w:t xml:space="preserve">לא מעטות </w:t>
      </w:r>
      <w:r>
        <w:rPr>
          <w:rFonts w:hint="cs"/>
          <w:sz w:val="24"/>
          <w:rtl/>
        </w:rPr>
        <w:t>רווח</w:t>
      </w:r>
      <w:r w:rsidR="00A16FBC">
        <w:rPr>
          <w:rFonts w:hint="cs"/>
          <w:sz w:val="24"/>
          <w:rtl/>
        </w:rPr>
        <w:t>ת</w:t>
      </w:r>
      <w:r>
        <w:rPr>
          <w:rFonts w:hint="cs"/>
          <w:sz w:val="24"/>
          <w:rtl/>
        </w:rPr>
        <w:t xml:space="preserve"> ה</w:t>
      </w:r>
      <w:r w:rsidR="00A16FBC">
        <w:rPr>
          <w:rFonts w:hint="cs"/>
          <w:sz w:val="24"/>
          <w:rtl/>
        </w:rPr>
        <w:t>דעה</w:t>
      </w:r>
      <w:r>
        <w:rPr>
          <w:rFonts w:hint="cs"/>
          <w:sz w:val="24"/>
          <w:rtl/>
        </w:rPr>
        <w:t xml:space="preserve"> שהבורר אכן מוסמך לדון בשאלת סמכותו. כך, </w:t>
      </w:r>
      <w:r w:rsidR="00A16FBC">
        <w:rPr>
          <w:rFonts w:hint="cs"/>
          <w:sz w:val="24"/>
          <w:rtl/>
        </w:rPr>
        <w:t xml:space="preserve">נראה שבדין האמריקאי מסתמן כיום כרסום </w:t>
      </w:r>
      <w:r w:rsidR="003239F1">
        <w:rPr>
          <w:rFonts w:hint="cs"/>
          <w:sz w:val="24"/>
          <w:rtl/>
        </w:rPr>
        <w:t>בכלל האוסר על הבורר לדון בסמכותו</w:t>
      </w:r>
      <w:r w:rsidR="00A16FBC">
        <w:rPr>
          <w:rFonts w:hint="cs"/>
          <w:sz w:val="24"/>
          <w:rtl/>
        </w:rPr>
        <w:t xml:space="preserve">, כפי שהדבר בא לידי ביטוי בפסקי דין של בית המשפט העליון של ארצות-הברית, בהם </w:t>
      </w:r>
      <w:r w:rsidR="00A16FBC" w:rsidRPr="00E965F4">
        <w:rPr>
          <w:rFonts w:hint="cs"/>
          <w:b/>
          <w:bCs/>
          <w:sz w:val="24"/>
          <w:rtl/>
        </w:rPr>
        <w:t>"מסתמנת מגמה להרחיב במידת</w:t>
      </w:r>
      <w:r w:rsidR="00A16FBC" w:rsidRPr="00E965F4">
        <w:rPr>
          <w:b/>
          <w:bCs/>
          <w:sz w:val="24"/>
          <w:rtl/>
        </w:rPr>
        <w:t>–</w:t>
      </w:r>
      <w:r w:rsidR="00A16FBC" w:rsidRPr="00E965F4">
        <w:rPr>
          <w:rFonts w:hint="cs"/>
          <w:b/>
          <w:bCs/>
          <w:sz w:val="24"/>
          <w:rtl/>
        </w:rPr>
        <w:t>מה את תחום כוחו האוטונומי של הבורר בסוגיית הסמכות, ולהותיר להכרעתו נושאים שבעבר ראו חובה להעבירם לבית-המשפט"</w:t>
      </w:r>
      <w:r w:rsidR="00E965F4">
        <w:rPr>
          <w:rFonts w:hint="cs"/>
          <w:b/>
          <w:bCs/>
          <w:sz w:val="24"/>
          <w:rtl/>
        </w:rPr>
        <w:t xml:space="preserve"> </w:t>
      </w:r>
      <w:r w:rsidR="00E965F4" w:rsidRPr="00E965F4">
        <w:rPr>
          <w:rFonts w:hint="cs"/>
          <w:sz w:val="24"/>
          <w:rtl/>
        </w:rPr>
        <w:t>(</w:t>
      </w:r>
      <w:r w:rsidR="00053ED6">
        <w:rPr>
          <w:rFonts w:hint="cs"/>
          <w:sz w:val="24"/>
          <w:rtl/>
        </w:rPr>
        <w:t>ראה מאמרו של מאיר שמגר, שם, עמ'</w:t>
      </w:r>
      <w:r w:rsidR="00E965F4">
        <w:rPr>
          <w:rFonts w:hint="cs"/>
          <w:sz w:val="24"/>
          <w:rtl/>
        </w:rPr>
        <w:t xml:space="preserve"> </w:t>
      </w:r>
      <w:r w:rsidR="00250C5A">
        <w:rPr>
          <w:rFonts w:hint="cs"/>
          <w:sz w:val="24"/>
          <w:rtl/>
        </w:rPr>
        <w:t>84, 90 ואילך).</w:t>
      </w:r>
    </w:p>
    <w:p w:rsidR="00327397" w:rsidRDefault="00327397" w:rsidP="003239F1">
      <w:pPr>
        <w:spacing w:line="276" w:lineRule="auto"/>
        <w:rPr>
          <w:sz w:val="24"/>
        </w:rPr>
      </w:pPr>
      <w:r>
        <w:rPr>
          <w:rFonts w:hint="cs"/>
          <w:sz w:val="24"/>
          <w:rtl/>
        </w:rPr>
        <w:t>גם כללי הבוררות הבינל</w:t>
      </w:r>
      <w:r w:rsidR="007E6090">
        <w:rPr>
          <w:rFonts w:hint="cs"/>
          <w:sz w:val="24"/>
          <w:rtl/>
        </w:rPr>
        <w:t>אומיים של האו"ם מאפשרים לטריבונ</w:t>
      </w:r>
      <w:r>
        <w:rPr>
          <w:rFonts w:hint="cs"/>
          <w:sz w:val="24"/>
          <w:rtl/>
        </w:rPr>
        <w:t xml:space="preserve">ל הבוררים להחליט בעצמו על סמכותו ועל היקף הסמכות: </w:t>
      </w:r>
    </w:p>
    <w:p w:rsidR="00250C5A" w:rsidRPr="00250C5A" w:rsidRDefault="00327397" w:rsidP="0011085D">
      <w:pPr>
        <w:spacing w:line="276" w:lineRule="auto"/>
        <w:rPr>
          <w:sz w:val="24"/>
        </w:rPr>
      </w:pPr>
      <w:r w:rsidRPr="00327397">
        <w:rPr>
          <w:b/>
          <w:bCs/>
          <w:sz w:val="24"/>
        </w:rPr>
        <w:t>"The arbitral tribunal shall have the power to rule on objections that it has no jurisdiction, including any objections with respect to the existence of validity of the</w:t>
      </w:r>
      <w:r>
        <w:rPr>
          <w:sz w:val="24"/>
        </w:rPr>
        <w:t xml:space="preserve"> </w:t>
      </w:r>
      <w:r w:rsidRPr="00327397">
        <w:rPr>
          <w:b/>
          <w:bCs/>
          <w:sz w:val="24"/>
        </w:rPr>
        <w:t>arbitration clause or of the separate arbitration agreement"</w:t>
      </w:r>
    </w:p>
    <w:p w:rsidR="00327397" w:rsidRDefault="00327397" w:rsidP="003239F1">
      <w:pPr>
        <w:spacing w:line="276" w:lineRule="auto"/>
        <w:rPr>
          <w:sz w:val="24"/>
        </w:rPr>
      </w:pPr>
      <w:r>
        <w:rPr>
          <w:sz w:val="24"/>
        </w:rPr>
        <w:t xml:space="preserve"> (UNCITRAL Arbitration Rules, Rule 21, </w:t>
      </w:r>
      <w:hyperlink r:id="rId7" w:history="1">
        <w:r w:rsidRPr="00423BF0">
          <w:rPr>
            <w:rStyle w:val="Hyperlink"/>
            <w:sz w:val="24"/>
          </w:rPr>
          <w:t>www.uncitral.org</w:t>
        </w:r>
      </w:hyperlink>
      <w:r>
        <w:rPr>
          <w:sz w:val="24"/>
        </w:rPr>
        <w:t xml:space="preserve">) </w:t>
      </w:r>
      <w:r w:rsidR="00250C5A">
        <w:rPr>
          <w:sz w:val="24"/>
        </w:rPr>
        <w:t>.</w:t>
      </w:r>
    </w:p>
    <w:p w:rsidR="00F85BA8" w:rsidRDefault="007E6090" w:rsidP="000C45DE">
      <w:pPr>
        <w:spacing w:line="276" w:lineRule="auto"/>
        <w:rPr>
          <w:rFonts w:hint="cs"/>
          <w:sz w:val="24"/>
          <w:rtl/>
        </w:rPr>
      </w:pPr>
      <w:r>
        <w:rPr>
          <w:rFonts w:hint="cs"/>
          <w:sz w:val="24"/>
          <w:rtl/>
        </w:rPr>
        <w:lastRenderedPageBreak/>
        <w:t>והנה, לפנינו סמכות רחבה ביותר שניתנה לטריבונל</w:t>
      </w:r>
      <w:r w:rsidR="00144EEE">
        <w:rPr>
          <w:rFonts w:hint="cs"/>
          <w:sz w:val="24"/>
          <w:rtl/>
        </w:rPr>
        <w:t xml:space="preserve"> הבוררים להחליט בסמכותו שלו, לרבות בתקפותו של הסכם הבוררות, ללא </w:t>
      </w:r>
      <w:r w:rsidR="000C45DE">
        <w:rPr>
          <w:rFonts w:hint="cs"/>
          <w:sz w:val="24"/>
          <w:rtl/>
        </w:rPr>
        <w:t xml:space="preserve">הבעת </w:t>
      </w:r>
      <w:r w:rsidR="00144EEE">
        <w:rPr>
          <w:rFonts w:hint="cs"/>
          <w:sz w:val="24"/>
          <w:rtl/>
        </w:rPr>
        <w:t>החשש שלטריבונל אי</w:t>
      </w:r>
      <w:r w:rsidR="000642A8">
        <w:rPr>
          <w:rFonts w:hint="cs"/>
          <w:sz w:val="24"/>
          <w:rtl/>
        </w:rPr>
        <w:t xml:space="preserve">ן סמכות להחליט בדבר, שכן מניין לו הסמכות לדון "בחוסר סמכות". טענה זו אינה מקובלת עליי, בכול הכבוד, שכן גם בית משפט מחליט, לא אחת, כי אין לו סמכות לדון בתביעה מסוימת ומחליט להעבירה לבית המשפט המוסמך. נשאלת השאלה - מכוח מה מחליט בית המשפט בנושא הסמכות, כאשר אין לו סמכות לדון בתביעה? הלא גם כאן נמצא בית המשפט מושך את עצמו </w:t>
      </w:r>
      <w:r w:rsidR="00BB3869">
        <w:rPr>
          <w:rFonts w:hint="cs"/>
          <w:sz w:val="24"/>
          <w:rtl/>
        </w:rPr>
        <w:t>"</w:t>
      </w:r>
      <w:r w:rsidR="000642A8">
        <w:rPr>
          <w:rFonts w:hint="cs"/>
          <w:sz w:val="24"/>
          <w:rtl/>
        </w:rPr>
        <w:t>בשרוכי נעליו</w:t>
      </w:r>
      <w:r w:rsidR="00BB3869">
        <w:rPr>
          <w:rFonts w:hint="cs"/>
          <w:sz w:val="24"/>
          <w:rtl/>
        </w:rPr>
        <w:t xml:space="preserve">", לא כן? </w:t>
      </w:r>
    </w:p>
    <w:p w:rsidR="00327397" w:rsidRDefault="00BB3869" w:rsidP="000C45DE">
      <w:pPr>
        <w:spacing w:line="276" w:lineRule="auto"/>
        <w:rPr>
          <w:sz w:val="24"/>
          <w:rtl/>
        </w:rPr>
      </w:pPr>
      <w:r>
        <w:rPr>
          <w:rFonts w:hint="cs"/>
          <w:sz w:val="24"/>
          <w:rtl/>
        </w:rPr>
        <w:t xml:space="preserve">דעתי היא </w:t>
      </w:r>
      <w:r>
        <w:rPr>
          <w:sz w:val="24"/>
          <w:rtl/>
        </w:rPr>
        <w:t>–</w:t>
      </w:r>
      <w:r>
        <w:rPr>
          <w:rFonts w:hint="cs"/>
          <w:sz w:val="24"/>
          <w:rtl/>
        </w:rPr>
        <w:t xml:space="preserve"> הן לגבי בית המשפט והן לגבי הבוררות </w:t>
      </w:r>
      <w:r>
        <w:rPr>
          <w:sz w:val="24"/>
          <w:rtl/>
        </w:rPr>
        <w:t>–</w:t>
      </w:r>
      <w:r>
        <w:rPr>
          <w:rFonts w:hint="cs"/>
          <w:sz w:val="24"/>
          <w:rtl/>
        </w:rPr>
        <w:t xml:space="preserve"> כי מרגע שהוגשה התביעה, הרי גם אם אין הבורר מוסמך לדון </w:t>
      </w:r>
      <w:r w:rsidRPr="00BB3869">
        <w:rPr>
          <w:rFonts w:hint="cs"/>
          <w:b/>
          <w:bCs/>
          <w:sz w:val="24"/>
          <w:rtl/>
        </w:rPr>
        <w:t>בתביעה לגופה</w:t>
      </w:r>
      <w:r>
        <w:rPr>
          <w:rFonts w:hint="cs"/>
          <w:sz w:val="24"/>
          <w:rtl/>
        </w:rPr>
        <w:t xml:space="preserve">, הוא מוסמך בהחלט לדון </w:t>
      </w:r>
      <w:r w:rsidRPr="00BB3869">
        <w:rPr>
          <w:rFonts w:hint="cs"/>
          <w:b/>
          <w:bCs/>
          <w:sz w:val="24"/>
          <w:rtl/>
        </w:rPr>
        <w:t>בשאלת הסמכות לדון בה</w:t>
      </w:r>
      <w:r>
        <w:rPr>
          <w:rFonts w:hint="cs"/>
          <w:sz w:val="24"/>
          <w:rtl/>
        </w:rPr>
        <w:t>, ובשאלה זו בלבד.</w:t>
      </w:r>
      <w:r w:rsidR="000C61D9">
        <w:rPr>
          <w:rFonts w:hint="cs"/>
          <w:sz w:val="24"/>
          <w:rtl/>
        </w:rPr>
        <w:t xml:space="preserve"> וכי </w:t>
      </w:r>
      <w:r w:rsidR="000C45DE">
        <w:rPr>
          <w:rFonts w:hint="cs"/>
          <w:sz w:val="24"/>
          <w:rtl/>
        </w:rPr>
        <w:t>מה רע בכך</w:t>
      </w:r>
      <w:r w:rsidR="000C61D9">
        <w:rPr>
          <w:rFonts w:hint="cs"/>
          <w:sz w:val="24"/>
          <w:rtl/>
        </w:rPr>
        <w:t>?</w:t>
      </w:r>
    </w:p>
    <w:p w:rsidR="000C61D9" w:rsidRDefault="000C61D9" w:rsidP="00BB3869">
      <w:pPr>
        <w:spacing w:line="276" w:lineRule="auto"/>
        <w:rPr>
          <w:sz w:val="24"/>
          <w:rtl/>
        </w:rPr>
      </w:pPr>
      <w:r>
        <w:rPr>
          <w:rFonts w:hint="cs"/>
          <w:sz w:val="24"/>
          <w:rtl/>
        </w:rPr>
        <w:t xml:space="preserve">לבורר הוקנו בחוק הבוררות ובתוספת לחוק סמכויות רבות ונרחבות </w:t>
      </w:r>
      <w:r>
        <w:rPr>
          <w:sz w:val="24"/>
          <w:rtl/>
        </w:rPr>
        <w:t>–</w:t>
      </w:r>
      <w:r>
        <w:rPr>
          <w:rFonts w:hint="cs"/>
          <w:sz w:val="24"/>
          <w:rtl/>
        </w:rPr>
        <w:t xml:space="preserve"> להכריע בפלוגתאות השונות, לחייב בהפקדת ערובה, למחוק כתבי טענות עקב אי ציות להוראותיו, ליתן סעדים זמניים, ועוד כהנה וכהנ</w:t>
      </w:r>
      <w:r w:rsidR="00077AD8">
        <w:rPr>
          <w:rFonts w:hint="cs"/>
          <w:sz w:val="24"/>
          <w:rtl/>
        </w:rPr>
        <w:t>ה -</w:t>
      </w:r>
      <w:r>
        <w:rPr>
          <w:rFonts w:hint="cs"/>
          <w:sz w:val="24"/>
          <w:rtl/>
        </w:rPr>
        <w:t xml:space="preserve"> וממילא ליתן פסק בוררות סופי ומחייב (בכפוף לערעור או אישור הפסק ע"י בית המשפט).</w:t>
      </w:r>
      <w:r w:rsidR="00077AD8">
        <w:rPr>
          <w:rFonts w:hint="cs"/>
          <w:sz w:val="24"/>
          <w:rtl/>
        </w:rPr>
        <w:t xml:space="preserve"> על שום מה ייגרע חלקו של הבורר להחליט דווקא בדבר סמכותו, כאשר ממילא, תהיה החלטתו כפופה לבקורת בית המשפט, בין בסופו של יום על הפסק כולו, ובין בדרך של פנייה בהמרצת פתיחה לגבי שאלת הסמכות</w:t>
      </w:r>
      <w:r w:rsidR="005E3BC6">
        <w:rPr>
          <w:rFonts w:hint="cs"/>
          <w:sz w:val="24"/>
          <w:rtl/>
        </w:rPr>
        <w:t>. הלא מגמת הפסיקה של בתי המשפט היא להעביר כמה שיותר נושאים וסמכויות להליכי בוררות, ולהתערב בהם מה שפחות. סבורני, כי מדיניות משפטית ראוי</w:t>
      </w:r>
      <w:r w:rsidR="00FB30BA">
        <w:rPr>
          <w:rFonts w:hint="cs"/>
          <w:sz w:val="24"/>
          <w:rtl/>
        </w:rPr>
        <w:t xml:space="preserve">ה היא להותיר בידי הבורר לדון גם </w:t>
      </w:r>
      <w:r w:rsidR="005E3BC6">
        <w:rPr>
          <w:rFonts w:hint="cs"/>
          <w:sz w:val="24"/>
          <w:rtl/>
        </w:rPr>
        <w:t>בשאלת סמכותו, תוך השארת הפיקוח והבקרה על הסמכות בידי בית-המשפט.</w:t>
      </w:r>
    </w:p>
    <w:p w:rsidR="00FB30BA" w:rsidRDefault="00FB30BA" w:rsidP="00FB30BA">
      <w:pPr>
        <w:spacing w:line="276" w:lineRule="auto"/>
        <w:rPr>
          <w:sz w:val="24"/>
          <w:rtl/>
        </w:rPr>
      </w:pPr>
      <w:r>
        <w:rPr>
          <w:rFonts w:hint="cs"/>
          <w:sz w:val="24"/>
          <w:rtl/>
        </w:rPr>
        <w:t>לשם השוואה, סעיף 11 לחוק הבוררות, התשכ"ח-1968 קובע כי לבית המשפט הסמכות להעביר בורר מתפקידו, באחד המקרים המפורטים שם. עקרונית, נראה שאין כול מניעה לפנות ישירות לביהמ"ש בבקשה להעביר את הבורר מתפקידו, ללא בקשה מוקדמת לבורר שיפסול את עצמו.</w:t>
      </w:r>
      <w:r w:rsidR="000E4E29">
        <w:rPr>
          <w:rFonts w:hint="cs"/>
          <w:sz w:val="24"/>
          <w:rtl/>
        </w:rPr>
        <w:t xml:space="preserve"> בפועל, הפרקטיקה הנהוגה היא שפונים תחילה לבורר בבקשה כזאת, ואם החלטתו אינה מקובלת, ניתן לפנות בבקשה לביהמ"ש בהתאם לסעיף 11 לחוק. פנייה ישירה לביהמ"ש גוררת, ממילא הפניית הבקשה להעברה מהתפקיד לבורר עצמו, על-מנת שיגיב עליה, ומה הועילו אפוא, מתקינים בתקנתם?</w:t>
      </w:r>
    </w:p>
    <w:p w:rsidR="00CD2094" w:rsidRDefault="000E4E29" w:rsidP="00C35FBD">
      <w:pPr>
        <w:spacing w:line="276" w:lineRule="auto"/>
        <w:rPr>
          <w:sz w:val="24"/>
          <w:rtl/>
        </w:rPr>
      </w:pPr>
      <w:r>
        <w:rPr>
          <w:rFonts w:hint="cs"/>
          <w:sz w:val="24"/>
          <w:rtl/>
        </w:rPr>
        <w:t>אותם ד</w:t>
      </w:r>
      <w:r w:rsidR="00C35FBD">
        <w:rPr>
          <w:rFonts w:hint="cs"/>
          <w:sz w:val="24"/>
          <w:rtl/>
        </w:rPr>
        <w:t>ב</w:t>
      </w:r>
      <w:r>
        <w:rPr>
          <w:rFonts w:hint="cs"/>
          <w:sz w:val="24"/>
          <w:rtl/>
        </w:rPr>
        <w:t xml:space="preserve">רים ישימים, </w:t>
      </w:r>
      <w:r w:rsidR="00C35FBD">
        <w:rPr>
          <w:rFonts w:hint="cs"/>
          <w:sz w:val="24"/>
          <w:rtl/>
        </w:rPr>
        <w:t>בעיני</w:t>
      </w:r>
      <w:r>
        <w:rPr>
          <w:rFonts w:hint="cs"/>
          <w:sz w:val="24"/>
          <w:rtl/>
        </w:rPr>
        <w:t>י גם לגבי נושא הסמכות</w:t>
      </w:r>
      <w:r w:rsidR="00C35FBD">
        <w:rPr>
          <w:rFonts w:hint="cs"/>
          <w:sz w:val="24"/>
          <w:rtl/>
        </w:rPr>
        <w:t>.</w:t>
      </w:r>
      <w:r>
        <w:rPr>
          <w:rFonts w:hint="cs"/>
          <w:sz w:val="24"/>
          <w:rtl/>
        </w:rPr>
        <w:t xml:space="preserve"> </w:t>
      </w:r>
      <w:r w:rsidR="00C35FBD">
        <w:rPr>
          <w:rFonts w:hint="cs"/>
          <w:sz w:val="24"/>
          <w:rtl/>
        </w:rPr>
        <w:t xml:space="preserve">נראה, </w:t>
      </w:r>
      <w:r>
        <w:rPr>
          <w:rFonts w:hint="cs"/>
          <w:sz w:val="24"/>
          <w:rtl/>
        </w:rPr>
        <w:t xml:space="preserve"> </w:t>
      </w:r>
      <w:r w:rsidR="00C35FBD">
        <w:rPr>
          <w:rFonts w:hint="cs"/>
          <w:sz w:val="24"/>
          <w:rtl/>
        </w:rPr>
        <w:t>ש</w:t>
      </w:r>
      <w:r>
        <w:rPr>
          <w:rFonts w:hint="cs"/>
          <w:sz w:val="24"/>
          <w:rtl/>
        </w:rPr>
        <w:t xml:space="preserve">מוטב שהבורר יחליט בה תחילה </w:t>
      </w:r>
      <w:r>
        <w:rPr>
          <w:sz w:val="24"/>
          <w:rtl/>
        </w:rPr>
        <w:t>–</w:t>
      </w:r>
      <w:r>
        <w:rPr>
          <w:rFonts w:hint="cs"/>
          <w:sz w:val="24"/>
          <w:rtl/>
        </w:rPr>
        <w:t xml:space="preserve"> בדרך </w:t>
      </w:r>
      <w:r w:rsidR="00E43670">
        <w:rPr>
          <w:rFonts w:hint="cs"/>
          <w:sz w:val="24"/>
          <w:rtl/>
        </w:rPr>
        <w:t>כלל במהירות וביעילות, תוך שהוא מכיר את</w:t>
      </w:r>
      <w:r>
        <w:rPr>
          <w:rFonts w:hint="cs"/>
          <w:sz w:val="24"/>
          <w:rtl/>
        </w:rPr>
        <w:t xml:space="preserve"> המאטריה מכתבי הטענות שהוגשו לו </w:t>
      </w:r>
      <w:r>
        <w:rPr>
          <w:sz w:val="24"/>
          <w:rtl/>
        </w:rPr>
        <w:t>–</w:t>
      </w:r>
      <w:r>
        <w:rPr>
          <w:rFonts w:hint="cs"/>
          <w:sz w:val="24"/>
          <w:rtl/>
        </w:rPr>
        <w:t xml:space="preserve"> וכי החלטתו תהיה נתונה לבקורתו של בית המשפט.</w:t>
      </w:r>
      <w:r w:rsidR="006D5A54">
        <w:rPr>
          <w:rFonts w:hint="cs"/>
          <w:sz w:val="24"/>
          <w:rtl/>
        </w:rPr>
        <w:t xml:space="preserve"> סבורני, כי הדבר תואם גם את המדיניות המשפטית הראויה, כפי שהותוותה ע"י בתי המשפט, ולפיהם יתערב בית המשפט מה שפחות בהליכי הבוררות, כמו גם בפסק הבוררות עצמו.</w:t>
      </w:r>
      <w:r w:rsidR="00CD2094">
        <w:rPr>
          <w:rFonts w:hint="cs"/>
          <w:sz w:val="24"/>
          <w:rtl/>
        </w:rPr>
        <w:t xml:space="preserve"> כדברי בית המשפט העליון ברע"א 5991/02 </w:t>
      </w:r>
      <w:r w:rsidR="00CD2094" w:rsidRPr="00CD2094">
        <w:rPr>
          <w:rFonts w:hint="cs"/>
          <w:b/>
          <w:bCs/>
          <w:sz w:val="24"/>
          <w:rtl/>
        </w:rPr>
        <w:t>גוירצמן נ. פריד</w:t>
      </w:r>
      <w:r w:rsidR="00CD2094">
        <w:rPr>
          <w:rFonts w:hint="cs"/>
          <w:sz w:val="24"/>
          <w:rtl/>
        </w:rPr>
        <w:t xml:space="preserve">, פ"ד נט (5)1 : </w:t>
      </w:r>
    </w:p>
    <w:p w:rsidR="000E4E29" w:rsidRDefault="00CD2094" w:rsidP="00C35FBD">
      <w:pPr>
        <w:spacing w:line="276" w:lineRule="auto"/>
        <w:rPr>
          <w:b/>
          <w:bCs/>
          <w:sz w:val="24"/>
          <w:rtl/>
        </w:rPr>
      </w:pPr>
      <w:r w:rsidRPr="00CD2094">
        <w:rPr>
          <w:rFonts w:hint="cs"/>
          <w:b/>
          <w:bCs/>
          <w:sz w:val="24"/>
          <w:rtl/>
        </w:rPr>
        <w:t>"מדיניות שיפוטית ראויה נועדה לחזק את מוסד הבוררות ולהגביל את ההתערבות השיפוטית בפסק הבוררות. יש לראות אפוא, את ביטולו של פסק הבוררותכצעד חריג ומיוחדשיש לנקוט בו רק במקרים נדירים...".</w:t>
      </w:r>
    </w:p>
    <w:p w:rsidR="00CD2094" w:rsidRDefault="00CD2094" w:rsidP="00C35FBD">
      <w:pPr>
        <w:spacing w:line="276" w:lineRule="auto"/>
        <w:rPr>
          <w:sz w:val="24"/>
          <w:rtl/>
        </w:rPr>
      </w:pPr>
      <w:r w:rsidRPr="00CD2094">
        <w:rPr>
          <w:rFonts w:hint="cs"/>
          <w:sz w:val="24"/>
          <w:rtl/>
        </w:rPr>
        <w:t xml:space="preserve">ואם בפסק הבוררות אמורים הדברים </w:t>
      </w:r>
      <w:r w:rsidRPr="00CD2094">
        <w:rPr>
          <w:sz w:val="24"/>
          <w:rtl/>
        </w:rPr>
        <w:t>–</w:t>
      </w:r>
      <w:r w:rsidRPr="00CD2094">
        <w:rPr>
          <w:rFonts w:hint="cs"/>
          <w:sz w:val="24"/>
          <w:rtl/>
        </w:rPr>
        <w:t xml:space="preserve"> בהחלטות ביניים</w:t>
      </w:r>
      <w:r>
        <w:rPr>
          <w:rFonts w:hint="cs"/>
          <w:sz w:val="24"/>
          <w:rtl/>
        </w:rPr>
        <w:t xml:space="preserve"> ובסמכויות הבורר, שאני.</w:t>
      </w:r>
    </w:p>
    <w:p w:rsidR="00081D89" w:rsidRDefault="00AF10EC" w:rsidP="00081D89">
      <w:pPr>
        <w:spacing w:line="276" w:lineRule="auto"/>
        <w:rPr>
          <w:sz w:val="24"/>
          <w:rtl/>
        </w:rPr>
      </w:pPr>
      <w:r>
        <w:rPr>
          <w:rFonts w:hint="cs"/>
          <w:sz w:val="24"/>
          <w:rtl/>
        </w:rPr>
        <w:t xml:space="preserve">נימוק נוסף שיש בו כדי לתמוך בהותרת ההחלטה בדבר סמכות הבורר בידי הבורר עצמו היא העובדה, שההלכה שנקבעה בענין סמכות בית המשפט </w:t>
      </w:r>
      <w:r>
        <w:rPr>
          <w:sz w:val="24"/>
          <w:rtl/>
        </w:rPr>
        <w:t>–</w:t>
      </w:r>
      <w:r>
        <w:rPr>
          <w:rFonts w:hint="cs"/>
          <w:sz w:val="24"/>
          <w:rtl/>
        </w:rPr>
        <w:t xml:space="preserve"> והוא בלבד </w:t>
      </w:r>
      <w:r>
        <w:rPr>
          <w:sz w:val="24"/>
          <w:rtl/>
        </w:rPr>
        <w:t>–</w:t>
      </w:r>
      <w:r>
        <w:rPr>
          <w:rFonts w:hint="cs"/>
          <w:sz w:val="24"/>
          <w:rtl/>
        </w:rPr>
        <w:t xml:space="preserve"> לדון בנושא הסמכות, הינה יציר הפסיקה ולא מצוות המחוקק. משראה המחוקק לנכון לערב את בית המשפט בהליכי הבוררות</w:t>
      </w:r>
      <w:r w:rsidR="00872337">
        <w:rPr>
          <w:rFonts w:hint="cs"/>
          <w:sz w:val="24"/>
          <w:rtl/>
        </w:rPr>
        <w:t xml:space="preserve"> לגופם</w:t>
      </w:r>
      <w:r>
        <w:rPr>
          <w:rFonts w:hint="cs"/>
          <w:sz w:val="24"/>
          <w:rtl/>
        </w:rPr>
        <w:t xml:space="preserve">, הוא עשה כן </w:t>
      </w:r>
      <w:r w:rsidR="00872337" w:rsidRPr="00872337">
        <w:rPr>
          <w:rFonts w:hint="cs"/>
          <w:b/>
          <w:bCs/>
          <w:sz w:val="24"/>
          <w:rtl/>
        </w:rPr>
        <w:t>מפורשות</w:t>
      </w:r>
      <w:r>
        <w:rPr>
          <w:rFonts w:hint="cs"/>
          <w:sz w:val="24"/>
          <w:rtl/>
        </w:rPr>
        <w:t xml:space="preserve"> וקבע בחוק הבוררות באילו מקרים יהיה לבית המשפט מעמד בהליכים אלה. כך, בענין העברת בורר מתפקידו (סעיף 11 לחוק הבוררות); סמכויות עזר של בית-המשפט לסייע לבורר בהזמנת עדים וגביית עדותם או במתן סעדים זמניים (סעיף 16 לחוק); הארכת תקופות לפעולות הבורר (סעיף 19 לחוק); הפחתת שכרו </w:t>
      </w:r>
      <w:r w:rsidR="00872337">
        <w:rPr>
          <w:rFonts w:hint="cs"/>
          <w:sz w:val="24"/>
          <w:rtl/>
        </w:rPr>
        <w:t>ש</w:t>
      </w:r>
      <w:r>
        <w:rPr>
          <w:rFonts w:hint="cs"/>
          <w:sz w:val="24"/>
          <w:rtl/>
        </w:rPr>
        <w:t>ל הבורר (סעיף  32 לחוק)</w:t>
      </w:r>
      <w:r w:rsidR="00872337">
        <w:rPr>
          <w:rFonts w:hint="cs"/>
          <w:sz w:val="24"/>
          <w:rtl/>
        </w:rPr>
        <w:t xml:space="preserve">. בשום מקום בחוק הבוררות, או בדבר חקיקה אחר, לא הוגבלה סמכותו של הבורר לדון בנושאים המובאים בפניו </w:t>
      </w:r>
      <w:r w:rsidR="00872337">
        <w:rPr>
          <w:sz w:val="24"/>
          <w:rtl/>
        </w:rPr>
        <w:t>–</w:t>
      </w:r>
      <w:r w:rsidR="00872337">
        <w:rPr>
          <w:rFonts w:hint="cs"/>
          <w:sz w:val="24"/>
          <w:rtl/>
        </w:rPr>
        <w:t xml:space="preserve"> </w:t>
      </w:r>
      <w:r w:rsidR="00872337" w:rsidRPr="00DD05E0">
        <w:rPr>
          <w:rFonts w:hint="cs"/>
          <w:b/>
          <w:bCs/>
          <w:sz w:val="24"/>
          <w:rtl/>
        </w:rPr>
        <w:t>לרבות בנושא הסמכות</w:t>
      </w:r>
      <w:r w:rsidR="00DD05E0">
        <w:rPr>
          <w:rFonts w:hint="cs"/>
          <w:sz w:val="24"/>
          <w:rtl/>
        </w:rPr>
        <w:t xml:space="preserve">. </w:t>
      </w:r>
      <w:r w:rsidR="00872337">
        <w:rPr>
          <w:rFonts w:hint="cs"/>
          <w:sz w:val="24"/>
          <w:rtl/>
        </w:rPr>
        <w:t>מן הראוי שכך יהיה המצב, כשגם נושא הסמכות יהיה בידי הבורר, בכפוף לפיקוח בית המשפט.</w:t>
      </w:r>
    </w:p>
    <w:p w:rsidR="00081D89" w:rsidRDefault="00081D89" w:rsidP="00081D89">
      <w:pPr>
        <w:spacing w:line="276" w:lineRule="auto"/>
        <w:rPr>
          <w:b/>
          <w:bCs/>
          <w:sz w:val="24"/>
          <w:rtl/>
        </w:rPr>
      </w:pPr>
      <w:r>
        <w:rPr>
          <w:rFonts w:hint="cs"/>
          <w:sz w:val="24"/>
          <w:rtl/>
        </w:rPr>
        <w:lastRenderedPageBreak/>
        <w:t xml:space="preserve">בסיום מאמרו דבק הנשיא שמגר בעמדתו , ולפיה: </w:t>
      </w:r>
      <w:r w:rsidRPr="00081D89">
        <w:rPr>
          <w:rFonts w:hint="cs"/>
          <w:b/>
          <w:bCs/>
          <w:sz w:val="24"/>
          <w:rtl/>
        </w:rPr>
        <w:t>"ראוי שההכרעה בדבר עצם הסמכות לקיים בוררות, לנוכח תניותיו של הסכם בוררות המשקף את הסכמת הצדדים, וכן בדבר היקף ההסכמה של הצדדים</w:t>
      </w:r>
      <w:r>
        <w:rPr>
          <w:rFonts w:hint="cs"/>
          <w:b/>
          <w:bCs/>
          <w:sz w:val="24"/>
          <w:rtl/>
        </w:rPr>
        <w:t xml:space="preserve"> </w:t>
      </w:r>
      <w:r w:rsidRPr="00081D89">
        <w:rPr>
          <w:rFonts w:hint="cs"/>
          <w:b/>
          <w:bCs/>
          <w:sz w:val="24"/>
          <w:rtl/>
        </w:rPr>
        <w:t>תושאר בידי בית-המשפט"</w:t>
      </w:r>
      <w:r>
        <w:rPr>
          <w:rFonts w:hint="cs"/>
          <w:b/>
          <w:bCs/>
          <w:sz w:val="24"/>
          <w:rtl/>
        </w:rPr>
        <w:t xml:space="preserve"> </w:t>
      </w:r>
      <w:r w:rsidRPr="00081D89">
        <w:rPr>
          <w:rFonts w:hint="cs"/>
          <w:sz w:val="24"/>
          <w:rtl/>
        </w:rPr>
        <w:t>(שם, עמ' 101)</w:t>
      </w:r>
      <w:r>
        <w:rPr>
          <w:rFonts w:hint="cs"/>
          <w:b/>
          <w:bCs/>
          <w:sz w:val="24"/>
          <w:rtl/>
        </w:rPr>
        <w:t>.</w:t>
      </w:r>
    </w:p>
    <w:p w:rsidR="00081D89" w:rsidRDefault="00081D89" w:rsidP="00081D89">
      <w:pPr>
        <w:spacing w:line="276" w:lineRule="auto"/>
        <w:rPr>
          <w:b/>
          <w:bCs/>
          <w:sz w:val="24"/>
          <w:rtl/>
        </w:rPr>
      </w:pPr>
      <w:r w:rsidRPr="00081D89">
        <w:rPr>
          <w:rFonts w:hint="cs"/>
          <w:sz w:val="24"/>
          <w:rtl/>
        </w:rPr>
        <w:t>עם זאת, גם הנשיא שמגר סבור כי</w:t>
      </w:r>
      <w:r>
        <w:rPr>
          <w:rFonts w:hint="cs"/>
          <w:b/>
          <w:bCs/>
          <w:sz w:val="24"/>
          <w:rtl/>
        </w:rPr>
        <w:t>: "אין ספק שסוגיה זו ראויה לדיון רחב יותר, שבו תינתן האפשרות להציג את הדעות השונות שצמחו מן הניסיון בהפעלת חוק הבוררות משנת תשכ"ח".</w:t>
      </w:r>
    </w:p>
    <w:p w:rsidR="00081D89" w:rsidRPr="00081D89" w:rsidRDefault="00081D89" w:rsidP="00081D89">
      <w:pPr>
        <w:spacing w:line="276" w:lineRule="auto"/>
        <w:rPr>
          <w:sz w:val="24"/>
          <w:rtl/>
        </w:rPr>
      </w:pPr>
      <w:r w:rsidRPr="00081D89">
        <w:rPr>
          <w:rFonts w:hint="cs"/>
          <w:sz w:val="24"/>
          <w:rtl/>
        </w:rPr>
        <w:t xml:space="preserve">אני את דעתי השונה </w:t>
      </w:r>
      <w:r w:rsidRPr="00081D89">
        <w:rPr>
          <w:sz w:val="24"/>
          <w:rtl/>
        </w:rPr>
        <w:t>–</w:t>
      </w:r>
      <w:r w:rsidRPr="00081D89">
        <w:rPr>
          <w:rFonts w:hint="cs"/>
          <w:sz w:val="24"/>
          <w:rtl/>
        </w:rPr>
        <w:t xml:space="preserve"> הבעתי</w:t>
      </w:r>
      <w:r w:rsidR="00F85BA8">
        <w:rPr>
          <w:rFonts w:hint="cs"/>
          <w:sz w:val="24"/>
          <w:rtl/>
        </w:rPr>
        <w:t xml:space="preserve"> בזאת</w:t>
      </w:r>
      <w:r w:rsidRPr="00081D89">
        <w:rPr>
          <w:rFonts w:hint="cs"/>
          <w:sz w:val="24"/>
          <w:rtl/>
        </w:rPr>
        <w:t>!</w:t>
      </w:r>
    </w:p>
    <w:p w:rsidR="00327397" w:rsidRPr="00E965F4" w:rsidRDefault="00327397" w:rsidP="00327397">
      <w:pPr>
        <w:spacing w:line="276" w:lineRule="auto"/>
        <w:rPr>
          <w:sz w:val="24"/>
        </w:rPr>
      </w:pPr>
    </w:p>
    <w:sectPr w:rsidR="00327397" w:rsidRPr="00E965F4" w:rsidSect="0017271A">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2357" w:rsidRDefault="004D2357" w:rsidP="00F85BA8">
      <w:pPr>
        <w:spacing w:after="0" w:line="240" w:lineRule="auto"/>
      </w:pPr>
      <w:r>
        <w:separator/>
      </w:r>
    </w:p>
  </w:endnote>
  <w:endnote w:type="continuationSeparator" w:id="1">
    <w:p w:rsidR="004D2357" w:rsidRDefault="004D2357" w:rsidP="00F85B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David">
    <w:panose1 w:val="00000000000000000000"/>
    <w:charset w:val="B1"/>
    <w:family w:val="auto"/>
    <w:pitch w:val="variable"/>
    <w:sig w:usb0="00000801" w:usb1="00000000" w:usb2="00000000" w:usb3="00000000" w:csb0="0000002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2357" w:rsidRDefault="004D2357" w:rsidP="00F85BA8">
      <w:pPr>
        <w:spacing w:after="0" w:line="240" w:lineRule="auto"/>
      </w:pPr>
      <w:r>
        <w:separator/>
      </w:r>
    </w:p>
  </w:footnote>
  <w:footnote w:type="continuationSeparator" w:id="1">
    <w:p w:rsidR="004D2357" w:rsidRDefault="004D2357" w:rsidP="00F85BA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7307891"/>
      <w:docPartObj>
        <w:docPartGallery w:val="Page Numbers (Top of Page)"/>
        <w:docPartUnique/>
      </w:docPartObj>
    </w:sdtPr>
    <w:sdtContent>
      <w:p w:rsidR="00F85BA8" w:rsidRDefault="00F85BA8">
        <w:pPr>
          <w:pStyle w:val="Header"/>
          <w:jc w:val="center"/>
        </w:pPr>
        <w:fldSimple w:instr=" PAGE   \* MERGEFORMAT ">
          <w:r w:rsidR="00B012AD">
            <w:rPr>
              <w:noProof/>
              <w:rtl/>
            </w:rPr>
            <w:t>3</w:t>
          </w:r>
        </w:fldSimple>
      </w:p>
    </w:sdtContent>
  </w:sdt>
  <w:p w:rsidR="00F85BA8" w:rsidRDefault="00F85BA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A54D5"/>
    <w:rsid w:val="00053ED6"/>
    <w:rsid w:val="000642A8"/>
    <w:rsid w:val="00077AD8"/>
    <w:rsid w:val="00081D89"/>
    <w:rsid w:val="000C45DE"/>
    <w:rsid w:val="000C61D9"/>
    <w:rsid w:val="000E4E29"/>
    <w:rsid w:val="0011085D"/>
    <w:rsid w:val="00144EEE"/>
    <w:rsid w:val="0017271A"/>
    <w:rsid w:val="00216463"/>
    <w:rsid w:val="002236D0"/>
    <w:rsid w:val="00250C5A"/>
    <w:rsid w:val="002F01F5"/>
    <w:rsid w:val="003239F1"/>
    <w:rsid w:val="00327397"/>
    <w:rsid w:val="003829F9"/>
    <w:rsid w:val="003F5529"/>
    <w:rsid w:val="00412D17"/>
    <w:rsid w:val="004652C8"/>
    <w:rsid w:val="00491859"/>
    <w:rsid w:val="004D2357"/>
    <w:rsid w:val="00523ED4"/>
    <w:rsid w:val="00560DF7"/>
    <w:rsid w:val="005E3BC6"/>
    <w:rsid w:val="00612437"/>
    <w:rsid w:val="006603F2"/>
    <w:rsid w:val="00664985"/>
    <w:rsid w:val="006D5A54"/>
    <w:rsid w:val="007048A6"/>
    <w:rsid w:val="007E6090"/>
    <w:rsid w:val="007F4477"/>
    <w:rsid w:val="00872337"/>
    <w:rsid w:val="00885F34"/>
    <w:rsid w:val="008A3D9D"/>
    <w:rsid w:val="008B6141"/>
    <w:rsid w:val="00945AD1"/>
    <w:rsid w:val="009972E5"/>
    <w:rsid w:val="009E7914"/>
    <w:rsid w:val="00A16FBC"/>
    <w:rsid w:val="00A705A6"/>
    <w:rsid w:val="00AF10EC"/>
    <w:rsid w:val="00B012AD"/>
    <w:rsid w:val="00BB3869"/>
    <w:rsid w:val="00C35FBD"/>
    <w:rsid w:val="00C53BA5"/>
    <w:rsid w:val="00CD2094"/>
    <w:rsid w:val="00DA54D5"/>
    <w:rsid w:val="00DD05E0"/>
    <w:rsid w:val="00DE0873"/>
    <w:rsid w:val="00E43670"/>
    <w:rsid w:val="00E965F4"/>
    <w:rsid w:val="00F71756"/>
    <w:rsid w:val="00F85BA8"/>
    <w:rsid w:val="00FB30BA"/>
    <w:rsid w:val="00FD2129"/>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9F9"/>
    <w:pPr>
      <w:bidi/>
      <w:spacing w:line="360" w:lineRule="auto"/>
      <w:jc w:val="both"/>
    </w:pPr>
    <w:rPr>
      <w:rFonts w:cs="David"/>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7397"/>
    <w:rPr>
      <w:color w:val="0000FF" w:themeColor="hyperlink"/>
      <w:u w:val="single"/>
    </w:rPr>
  </w:style>
  <w:style w:type="paragraph" w:styleId="Header">
    <w:name w:val="header"/>
    <w:basedOn w:val="Normal"/>
    <w:link w:val="HeaderChar"/>
    <w:uiPriority w:val="99"/>
    <w:unhideWhenUsed/>
    <w:rsid w:val="00F85BA8"/>
    <w:pPr>
      <w:tabs>
        <w:tab w:val="center" w:pos="4153"/>
        <w:tab w:val="right" w:pos="8306"/>
      </w:tabs>
      <w:spacing w:after="0" w:line="240" w:lineRule="auto"/>
    </w:pPr>
  </w:style>
  <w:style w:type="character" w:customStyle="1" w:styleId="HeaderChar">
    <w:name w:val="Header Char"/>
    <w:basedOn w:val="DefaultParagraphFont"/>
    <w:link w:val="Header"/>
    <w:uiPriority w:val="99"/>
    <w:rsid w:val="00F85BA8"/>
    <w:rPr>
      <w:rFonts w:cs="David"/>
      <w:szCs w:val="24"/>
    </w:rPr>
  </w:style>
  <w:style w:type="paragraph" w:styleId="Footer">
    <w:name w:val="footer"/>
    <w:basedOn w:val="Normal"/>
    <w:link w:val="FooterChar"/>
    <w:uiPriority w:val="99"/>
    <w:semiHidden/>
    <w:unhideWhenUsed/>
    <w:rsid w:val="00F85BA8"/>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F85BA8"/>
    <w:rPr>
      <w:rFonts w:cs="David"/>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uncitral.or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203B76-C7A9-4EDB-8EB0-D8C0965F0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3</Pages>
  <Words>1080</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Amdocs</Company>
  <LinksUpToDate>false</LinksUpToDate>
  <CharactersWithSpaces>6469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XpHomeEng</dc:creator>
  <cp:keywords/>
  <dc:description/>
  <cp:lastModifiedBy>XpHomeEng</cp:lastModifiedBy>
  <cp:revision>41</cp:revision>
  <dcterms:created xsi:type="dcterms:W3CDTF">2015-06-24T05:27:00Z</dcterms:created>
  <dcterms:modified xsi:type="dcterms:W3CDTF">2015-07-05T07:20:00Z</dcterms:modified>
</cp:coreProperties>
</file>