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AF52A">
      <w:pPr>
        <w:jc w:val="center"/>
      </w:pPr>
      <w:r>
        <w:rPr>
          <w:rFonts w:ascii="微软雅黑" w:hAnsi="微软雅黑" w:eastAsia="微软雅黑"/>
          <w:b/>
          <w:color w:val="163A5F"/>
          <w:sz w:val="50"/>
        </w:rPr>
        <w:t>专属资源画像与业务场景手册</w:t>
      </w:r>
    </w:p>
    <w:p w14:paraId="4FCC4DF4">
      <w:pPr>
        <w:jc w:val="center"/>
      </w:pPr>
      <w:r>
        <w:rPr>
          <w:color w:val="5B6573"/>
          <w:sz w:val="23"/>
        </w:rPr>
        <w:t>Q-BAY、俱乐部、上市公司网络和用户个人能力的结构化资源说明</w:t>
      </w:r>
    </w:p>
    <w:p w14:paraId="51FCDDE2">
      <w:pPr>
        <w:jc w:val="center"/>
      </w:pPr>
      <w:r>
        <w:rPr>
          <w:sz w:val="19"/>
        </w:rPr>
        <w:t>第二轮校准 V1.1｜基于历史对话沉淀｜2026年6月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3C1C6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4" w:type="dxa"/>
            <w:shd w:val="clear" w:color="auto" w:fill="EAF2F8"/>
          </w:tcPr>
          <w:p w14:paraId="7DA975C5">
            <w:pPr>
              <w:jc w:val="center"/>
            </w:pPr>
            <w:r>
              <w:t>状态标识：已确认＝用户多次明确表述；业务归纳＝根据历史工作内容整理；待核验＝来自早期文案或缺少正式材料佐证。</w:t>
            </w:r>
          </w:p>
        </w:tc>
      </w:tr>
    </w:tbl>
    <w:p w14:paraId="529E2F85">
      <w:r>
        <w:br w:type="page"/>
      </w:r>
    </w:p>
    <w:p w14:paraId="1193725F">
      <w:pPr>
        <w:pStyle w:val="3"/>
      </w:pPr>
      <w:r>
        <w:t>1. 核心节点画像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171F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shd w:val="clear" w:color="auto" w:fill="163A5F"/>
          </w:tcPr>
          <w:p w14:paraId="17E9A45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w="1999" w:type="dxa"/>
            <w:shd w:val="clear" w:color="auto" w:fill="163A5F"/>
          </w:tcPr>
          <w:p w14:paraId="18FD778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w="1999" w:type="dxa"/>
            <w:shd w:val="clear" w:color="auto" w:fill="163A5F"/>
          </w:tcPr>
          <w:p w14:paraId="2AFC5F3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可提供资源</w:t>
            </w:r>
          </w:p>
        </w:tc>
        <w:tc>
          <w:tcPr>
            <w:tcW w:w="1999" w:type="dxa"/>
            <w:shd w:val="clear" w:color="auto" w:fill="163A5F"/>
          </w:tcPr>
          <w:p w14:paraId="56FF9E8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潜在需求</w:t>
            </w:r>
          </w:p>
        </w:tc>
        <w:tc>
          <w:tcPr>
            <w:tcW w:w="1999" w:type="dxa"/>
            <w:shd w:val="clear" w:color="auto" w:fill="163A5F"/>
          </w:tcPr>
          <w:p w14:paraId="66F32AD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14:paraId="08FE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vAlign w:val="center"/>
          </w:tcPr>
          <w:p w14:paraId="3582205A">
            <w:pPr>
              <w:spacing w:after="0" w:line="240" w:lineRule="auto"/>
            </w:pPr>
            <w:r>
              <w:rPr>
                <w:sz w:val="17"/>
              </w:rPr>
              <w:t>Q-BAY（上海）生物医药孵化器</w:t>
            </w:r>
          </w:p>
        </w:tc>
        <w:tc>
          <w:tcPr>
            <w:tcW w:w="1999" w:type="dxa"/>
            <w:vAlign w:val="center"/>
          </w:tcPr>
          <w:p w14:paraId="017FD4AF">
            <w:pPr>
              <w:spacing w:after="0" w:line="240" w:lineRule="auto"/>
            </w:pPr>
            <w:r>
              <w:rPr>
                <w:sz w:val="17"/>
              </w:rPr>
              <w:t>张江生物医药与医疗器械研发孵化节点</w:t>
            </w:r>
          </w:p>
        </w:tc>
        <w:tc>
          <w:tcPr>
            <w:tcW w:w="1999" w:type="dxa"/>
            <w:vAlign w:val="center"/>
          </w:tcPr>
          <w:p w14:paraId="29C8C8D0">
            <w:pPr>
              <w:spacing w:after="0" w:line="240" w:lineRule="auto"/>
            </w:pPr>
            <w:r>
              <w:rPr>
                <w:sz w:val="17"/>
              </w:rPr>
              <w:t>办公/实验空间、共享平台、项目服务、活动场地、品牌背书</w:t>
            </w:r>
          </w:p>
        </w:tc>
        <w:tc>
          <w:tcPr>
            <w:tcW w:w="1999" w:type="dxa"/>
            <w:vAlign w:val="center"/>
          </w:tcPr>
          <w:p w14:paraId="1E77E3FA">
            <w:pPr>
              <w:spacing w:after="0" w:line="240" w:lineRule="auto"/>
            </w:pPr>
            <w:r>
              <w:rPr>
                <w:sz w:val="17"/>
              </w:rPr>
              <w:t>优质项目、入驻企业、生态服务商、资本与政策资源</w:t>
            </w:r>
          </w:p>
        </w:tc>
        <w:tc>
          <w:tcPr>
            <w:tcW w:w="1999" w:type="dxa"/>
            <w:vAlign w:val="center"/>
          </w:tcPr>
          <w:p w14:paraId="01F1C83A">
            <w:pPr>
              <w:spacing w:after="0" w:line="240" w:lineRule="auto"/>
            </w:pPr>
            <w:r>
              <w:rPr>
                <w:sz w:val="17"/>
              </w:rPr>
              <w:t>已确认/参数待核</w:t>
            </w:r>
          </w:p>
        </w:tc>
      </w:tr>
      <w:tr w14:paraId="3739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shd w:val="clear" w:color="auto" w:fill="F8FAFC"/>
            <w:vAlign w:val="center"/>
          </w:tcPr>
          <w:p w14:paraId="709B5FD1">
            <w:pPr>
              <w:spacing w:after="0" w:line="240" w:lineRule="auto"/>
            </w:pPr>
            <w:r>
              <w:rPr>
                <w:sz w:val="17"/>
              </w:rPr>
              <w:t>杭州钱塘/杭州医药港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28F1D0E6">
            <w:pPr>
              <w:spacing w:after="0" w:line="240" w:lineRule="auto"/>
            </w:pPr>
            <w:r>
              <w:rPr>
                <w:sz w:val="17"/>
              </w:rPr>
              <w:t>产业化和区域落地承接节点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539C1687">
            <w:pPr>
              <w:spacing w:after="0" w:line="240" w:lineRule="auto"/>
            </w:pPr>
            <w:r>
              <w:rPr>
                <w:sz w:val="17"/>
              </w:rPr>
              <w:t>产业空间、政策、产业基金、招商与产业链资源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4E557E17">
            <w:pPr>
              <w:spacing w:after="0" w:line="240" w:lineRule="auto"/>
            </w:pPr>
            <w:r>
              <w:rPr>
                <w:sz w:val="17"/>
              </w:rPr>
              <w:t>上海研发项目、成熟企业、产业化项目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63129EF7">
            <w:pPr>
              <w:spacing w:after="0" w:line="240" w:lineRule="auto"/>
            </w:pPr>
            <w:r>
              <w:rPr>
                <w:sz w:val="17"/>
              </w:rPr>
              <w:t>部分待核</w:t>
            </w:r>
          </w:p>
        </w:tc>
      </w:tr>
      <w:tr w14:paraId="34DB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vAlign w:val="center"/>
          </w:tcPr>
          <w:p w14:paraId="772DC176">
            <w:pPr>
              <w:spacing w:after="0" w:line="240" w:lineRule="auto"/>
            </w:pPr>
            <w:r>
              <w:rPr>
                <w:sz w:val="17"/>
              </w:rPr>
              <w:t>Q-BAY赫利克斯菁英俱乐部</w:t>
            </w:r>
          </w:p>
        </w:tc>
        <w:tc>
          <w:tcPr>
            <w:tcW w:w="1999" w:type="dxa"/>
            <w:vAlign w:val="center"/>
          </w:tcPr>
          <w:p w14:paraId="74052AE9">
            <w:pPr>
              <w:spacing w:after="0" w:line="240" w:lineRule="auto"/>
            </w:pPr>
            <w:r>
              <w:rPr>
                <w:sz w:val="17"/>
              </w:rPr>
              <w:t>生物医药项目、人才、资本和产业资源连接平台</w:t>
            </w:r>
          </w:p>
        </w:tc>
        <w:tc>
          <w:tcPr>
            <w:tcW w:w="1999" w:type="dxa"/>
            <w:vAlign w:val="center"/>
          </w:tcPr>
          <w:p w14:paraId="7243E71F">
            <w:pPr>
              <w:spacing w:after="0" w:line="240" w:lineRule="auto"/>
            </w:pPr>
            <w:r>
              <w:rPr>
                <w:sz w:val="17"/>
              </w:rPr>
              <w:t>访谈、活动、社群、品牌、项目展示与资源对接</w:t>
            </w:r>
          </w:p>
        </w:tc>
        <w:tc>
          <w:tcPr>
            <w:tcW w:w="1999" w:type="dxa"/>
            <w:vAlign w:val="center"/>
          </w:tcPr>
          <w:p w14:paraId="3D7E31AA">
            <w:pPr>
              <w:spacing w:after="0" w:line="240" w:lineRule="auto"/>
            </w:pPr>
            <w:r>
              <w:rPr>
                <w:sz w:val="17"/>
              </w:rPr>
              <w:t>高质量会员、嘉宾、项目和合作机构</w:t>
            </w:r>
          </w:p>
        </w:tc>
        <w:tc>
          <w:tcPr>
            <w:tcW w:w="1999" w:type="dxa"/>
            <w:vAlign w:val="center"/>
          </w:tcPr>
          <w:p w14:paraId="5468F4F1">
            <w:pPr>
              <w:spacing w:after="0" w:line="240" w:lineRule="auto"/>
            </w:pPr>
            <w:r>
              <w:rPr>
                <w:sz w:val="17"/>
              </w:rPr>
              <w:t>已确认</w:t>
            </w:r>
          </w:p>
        </w:tc>
      </w:tr>
      <w:tr w14:paraId="77D9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shd w:val="clear" w:color="auto" w:fill="F8FAFC"/>
            <w:vAlign w:val="center"/>
          </w:tcPr>
          <w:p w14:paraId="206CFA3F">
            <w:pPr>
              <w:spacing w:after="0" w:line="240" w:lineRule="auto"/>
            </w:pPr>
            <w:r>
              <w:rPr>
                <w:sz w:val="17"/>
              </w:rPr>
              <w:t>上市公司俱乐部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7D95C16F">
            <w:pPr>
              <w:spacing w:after="0" w:line="240" w:lineRule="auto"/>
            </w:pPr>
            <w:r>
              <w:rPr>
                <w:sz w:val="17"/>
              </w:rPr>
              <w:t>上市及准上市企业链接平台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63DA2B78">
            <w:pPr>
              <w:spacing w:after="0" w:line="240" w:lineRule="auto"/>
            </w:pPr>
            <w:r>
              <w:rPr>
                <w:sz w:val="17"/>
              </w:rPr>
              <w:t>上市公司高管、产业方、链接官、专家组、活动与项目路演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76E4A972">
            <w:pPr>
              <w:spacing w:after="0" w:line="240" w:lineRule="auto"/>
            </w:pPr>
            <w:r>
              <w:rPr>
                <w:sz w:val="17"/>
              </w:rPr>
              <w:t>优质项目、产业合作、并购和服务需求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45C200E3">
            <w:pPr>
              <w:spacing w:after="0" w:line="240" w:lineRule="auto"/>
            </w:pPr>
            <w:r>
              <w:rPr>
                <w:sz w:val="17"/>
              </w:rPr>
              <w:t>已确认</w:t>
            </w:r>
          </w:p>
        </w:tc>
      </w:tr>
      <w:tr w14:paraId="2E78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vAlign w:val="center"/>
          </w:tcPr>
          <w:p w14:paraId="54622184">
            <w:pPr>
              <w:spacing w:after="0" w:line="240" w:lineRule="auto"/>
            </w:pPr>
            <w:r>
              <w:rPr>
                <w:sz w:val="17"/>
              </w:rPr>
              <w:t>用户本人</w:t>
            </w:r>
          </w:p>
        </w:tc>
        <w:tc>
          <w:tcPr>
            <w:tcW w:w="1999" w:type="dxa"/>
            <w:vAlign w:val="center"/>
          </w:tcPr>
          <w:p w14:paraId="2EA2FE89">
            <w:pPr>
              <w:spacing w:after="0" w:line="240" w:lineRule="auto"/>
            </w:pPr>
            <w:r>
              <w:rPr>
                <w:sz w:val="17"/>
              </w:rPr>
              <w:t>产业情报系统业务负责人</w:t>
            </w:r>
          </w:p>
        </w:tc>
        <w:tc>
          <w:tcPr>
            <w:tcW w:w="1999" w:type="dxa"/>
            <w:vAlign w:val="center"/>
          </w:tcPr>
          <w:p w14:paraId="02D1C8EE">
            <w:pPr>
              <w:spacing w:after="0" w:line="240" w:lineRule="auto"/>
            </w:pPr>
            <w:r>
              <w:rPr>
                <w:sz w:val="17"/>
              </w:rPr>
              <w:t>实验室专业判断、项目评估、活动组织、园区运营、融资对接</w:t>
            </w:r>
          </w:p>
        </w:tc>
        <w:tc>
          <w:tcPr>
            <w:tcW w:w="1999" w:type="dxa"/>
            <w:vAlign w:val="center"/>
          </w:tcPr>
          <w:p w14:paraId="705A3454">
            <w:pPr>
              <w:spacing w:after="0" w:line="240" w:lineRule="auto"/>
            </w:pPr>
            <w:r>
              <w:rPr>
                <w:sz w:val="17"/>
              </w:rPr>
              <w:t>数据工具、稳定线索、可复制业务模式</w:t>
            </w:r>
          </w:p>
        </w:tc>
        <w:tc>
          <w:tcPr>
            <w:tcW w:w="1999" w:type="dxa"/>
            <w:vAlign w:val="center"/>
          </w:tcPr>
          <w:p w14:paraId="6E39469F">
            <w:pPr>
              <w:spacing w:after="0" w:line="240" w:lineRule="auto"/>
            </w:pPr>
            <w:r>
              <w:rPr>
                <w:sz w:val="17"/>
              </w:rPr>
              <w:t>已确认</w:t>
            </w:r>
          </w:p>
        </w:tc>
      </w:tr>
    </w:tbl>
    <w:p w14:paraId="633B1091">
      <w:pPr>
        <w:pStyle w:val="3"/>
      </w:pPr>
      <w:r>
        <w:t>2. 用户能力标签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4007"/>
        <w:gridCol w:w="3331"/>
      </w:tblGrid>
      <w:tr w14:paraId="6C7B8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shd w:val="clear" w:color="auto" w:fill="163A5F"/>
          </w:tcPr>
          <w:p w14:paraId="41761E9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能力域</w:t>
            </w:r>
          </w:p>
        </w:tc>
        <w:tc>
          <w:tcPr>
            <w:tcW w:w="4007" w:type="dxa"/>
            <w:shd w:val="clear" w:color="auto" w:fill="163A5F"/>
          </w:tcPr>
          <w:p w14:paraId="60B60B6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历史证据</w:t>
            </w:r>
          </w:p>
        </w:tc>
        <w:tc>
          <w:tcPr>
            <w:tcW w:w="3331" w:type="dxa"/>
            <w:shd w:val="clear" w:color="auto" w:fill="163A5F"/>
          </w:tcPr>
          <w:p w14:paraId="0ABB5B8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系统使用方式</w:t>
            </w:r>
          </w:p>
        </w:tc>
      </w:tr>
      <w:tr w14:paraId="5D77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vAlign w:val="center"/>
          </w:tcPr>
          <w:p w14:paraId="2A96120F">
            <w:pPr>
              <w:spacing w:after="0" w:line="240" w:lineRule="auto"/>
            </w:pPr>
            <w:r>
              <w:rPr>
                <w:sz w:val="17"/>
              </w:rPr>
              <w:t>实验室与设备</w:t>
            </w:r>
          </w:p>
        </w:tc>
        <w:tc>
          <w:tcPr>
            <w:tcW w:w="4007" w:type="dxa"/>
            <w:vAlign w:val="center"/>
          </w:tcPr>
          <w:p w14:paraId="27542FF0">
            <w:pPr>
              <w:spacing w:after="0" w:line="240" w:lineRule="auto"/>
            </w:pPr>
            <w:r>
              <w:rPr>
                <w:sz w:val="17"/>
              </w:rPr>
              <w:t>管理2000+台设备；质谱、色谱、流式、蛋白纯化、显微等</w:t>
            </w:r>
          </w:p>
        </w:tc>
        <w:tc>
          <w:tcPr>
            <w:tcW w:w="3331" w:type="dxa"/>
            <w:vAlign w:val="center"/>
          </w:tcPr>
          <w:p w14:paraId="2EE2181B">
            <w:pPr>
              <w:spacing w:after="0" w:line="240" w:lineRule="auto"/>
            </w:pPr>
            <w:r>
              <w:rPr>
                <w:sz w:val="17"/>
              </w:rPr>
              <w:t>判断实验室需求、设备配置、搬迁和共享平台适配</w:t>
            </w:r>
          </w:p>
        </w:tc>
      </w:tr>
      <w:tr w14:paraId="315A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shd w:val="clear" w:color="auto" w:fill="F8FAFC"/>
            <w:vAlign w:val="center"/>
          </w:tcPr>
          <w:p w14:paraId="687DF7AA">
            <w:pPr>
              <w:spacing w:after="0" w:line="240" w:lineRule="auto"/>
            </w:pPr>
            <w:r>
              <w:rPr>
                <w:sz w:val="17"/>
              </w:rPr>
              <w:t>生物分析与组学</w:t>
            </w:r>
          </w:p>
        </w:tc>
        <w:tc>
          <w:tcPr>
            <w:tcW w:w="4007" w:type="dxa"/>
            <w:shd w:val="clear" w:color="auto" w:fill="F8FAFC"/>
            <w:vAlign w:val="center"/>
          </w:tcPr>
          <w:p w14:paraId="5722380D">
            <w:pPr>
              <w:spacing w:after="0" w:line="240" w:lineRule="auto"/>
            </w:pPr>
            <w:r>
              <w:rPr>
                <w:sz w:val="17"/>
              </w:rPr>
              <w:t>LC-MS/MS、HPLC、蛋白组、代谢组、药代、生物标志物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6D5F76CD">
            <w:pPr>
              <w:spacing w:after="0" w:line="240" w:lineRule="auto"/>
            </w:pPr>
            <w:r>
              <w:rPr>
                <w:sz w:val="17"/>
              </w:rPr>
              <w:t>识别项目技术阶段和CRO/检测需求</w:t>
            </w:r>
          </w:p>
        </w:tc>
      </w:tr>
      <w:tr w14:paraId="4D0D6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vAlign w:val="center"/>
          </w:tcPr>
          <w:p w14:paraId="7A568120">
            <w:pPr>
              <w:spacing w:after="0" w:line="240" w:lineRule="auto"/>
            </w:pPr>
            <w:r>
              <w:rPr>
                <w:sz w:val="17"/>
              </w:rPr>
              <w:t>孵化运营</w:t>
            </w:r>
          </w:p>
        </w:tc>
        <w:tc>
          <w:tcPr>
            <w:tcW w:w="4007" w:type="dxa"/>
            <w:vAlign w:val="center"/>
          </w:tcPr>
          <w:p w14:paraId="148702A2">
            <w:pPr>
              <w:spacing w:after="0" w:line="240" w:lineRule="auto"/>
            </w:pPr>
            <w:r>
              <w:rPr>
                <w:sz w:val="17"/>
              </w:rPr>
              <w:t>0-1平台、项目筛选、孵化计划、空间运营</w:t>
            </w:r>
          </w:p>
        </w:tc>
        <w:tc>
          <w:tcPr>
            <w:tcW w:w="3331" w:type="dxa"/>
            <w:vAlign w:val="center"/>
          </w:tcPr>
          <w:p w14:paraId="4D4C5C12">
            <w:pPr>
              <w:spacing w:after="0" w:line="240" w:lineRule="auto"/>
            </w:pPr>
            <w:r>
              <w:rPr>
                <w:sz w:val="17"/>
              </w:rPr>
              <w:t>建立项目评分和入孵/落地流程</w:t>
            </w:r>
          </w:p>
        </w:tc>
      </w:tr>
      <w:tr w14:paraId="22DE3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shd w:val="clear" w:color="auto" w:fill="F8FAFC"/>
            <w:vAlign w:val="center"/>
          </w:tcPr>
          <w:p w14:paraId="54D591C3">
            <w:pPr>
              <w:spacing w:after="0" w:line="240" w:lineRule="auto"/>
            </w:pPr>
            <w:r>
              <w:rPr>
                <w:sz w:val="17"/>
              </w:rPr>
              <w:t>高校与投资网络</w:t>
            </w:r>
          </w:p>
        </w:tc>
        <w:tc>
          <w:tcPr>
            <w:tcW w:w="4007" w:type="dxa"/>
            <w:shd w:val="clear" w:color="auto" w:fill="F8FAFC"/>
            <w:vAlign w:val="center"/>
          </w:tcPr>
          <w:p w14:paraId="57B2F9F9">
            <w:pPr>
              <w:spacing w:after="0" w:line="240" w:lineRule="auto"/>
            </w:pPr>
            <w:r>
              <w:rPr>
                <w:sz w:val="17"/>
              </w:rPr>
              <w:t>链接30+高校、科研与投资机构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066A0CB1">
            <w:pPr>
              <w:spacing w:after="0" w:line="240" w:lineRule="auto"/>
            </w:pPr>
            <w:r>
              <w:rPr>
                <w:sz w:val="17"/>
              </w:rPr>
              <w:t>冷启动主体库和成果转化/融资匹配</w:t>
            </w:r>
          </w:p>
        </w:tc>
      </w:tr>
      <w:tr w14:paraId="66BC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vAlign w:val="center"/>
          </w:tcPr>
          <w:p w14:paraId="2191070A">
            <w:pPr>
              <w:spacing w:after="0" w:line="240" w:lineRule="auto"/>
            </w:pPr>
            <w:r>
              <w:rPr>
                <w:sz w:val="17"/>
              </w:rPr>
              <w:t>活动路演</w:t>
            </w:r>
          </w:p>
        </w:tc>
        <w:tc>
          <w:tcPr>
            <w:tcW w:w="4007" w:type="dxa"/>
            <w:vAlign w:val="center"/>
          </w:tcPr>
          <w:p w14:paraId="6071F2C9">
            <w:pPr>
              <w:spacing w:after="0" w:line="240" w:lineRule="auto"/>
            </w:pPr>
            <w:r>
              <w:rPr>
                <w:sz w:val="17"/>
              </w:rPr>
              <w:t>组织10+论坛闭门路演，促成8项合作协议</w:t>
            </w:r>
          </w:p>
        </w:tc>
        <w:tc>
          <w:tcPr>
            <w:tcW w:w="3331" w:type="dxa"/>
            <w:vAlign w:val="center"/>
          </w:tcPr>
          <w:p w14:paraId="53E3386D">
            <w:pPr>
              <w:spacing w:after="0" w:line="240" w:lineRule="auto"/>
            </w:pPr>
            <w:r>
              <w:rPr>
                <w:sz w:val="17"/>
              </w:rPr>
              <w:t>活动Agent和行动转化SOP</w:t>
            </w:r>
          </w:p>
        </w:tc>
      </w:tr>
      <w:tr w14:paraId="18D1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shd w:val="clear" w:color="auto" w:fill="F8FAFC"/>
            <w:vAlign w:val="center"/>
          </w:tcPr>
          <w:p w14:paraId="1DB0BFB6">
            <w:pPr>
              <w:spacing w:after="0" w:line="240" w:lineRule="auto"/>
            </w:pPr>
            <w:r>
              <w:rPr>
                <w:sz w:val="17"/>
              </w:rPr>
              <w:t>俱乐部运营</w:t>
            </w:r>
          </w:p>
        </w:tc>
        <w:tc>
          <w:tcPr>
            <w:tcW w:w="4007" w:type="dxa"/>
            <w:shd w:val="clear" w:color="auto" w:fill="F8FAFC"/>
            <w:vAlign w:val="center"/>
          </w:tcPr>
          <w:p w14:paraId="39A7FA85">
            <w:pPr>
              <w:spacing w:after="0" w:line="240" w:lineRule="auto"/>
            </w:pPr>
            <w:r>
              <w:rPr>
                <w:sz w:val="17"/>
              </w:rPr>
              <w:t>资源库、需求对接、活动传播、案例沉淀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3DB5B7A7">
            <w:pPr>
              <w:spacing w:after="0" w:line="240" w:lineRule="auto"/>
            </w:pPr>
            <w:r>
              <w:rPr>
                <w:sz w:val="17"/>
              </w:rPr>
              <w:t>关系图谱、私域需求和内容渠道</w:t>
            </w:r>
          </w:p>
        </w:tc>
      </w:tr>
      <w:tr w14:paraId="6945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55" w:type="dxa"/>
            <w:vAlign w:val="center"/>
          </w:tcPr>
          <w:p w14:paraId="22C6404C">
            <w:pPr>
              <w:spacing w:after="0" w:line="240" w:lineRule="auto"/>
            </w:pPr>
            <w:r>
              <w:rPr>
                <w:sz w:val="17"/>
              </w:rPr>
              <w:t>AI工具与开发协同</w:t>
            </w:r>
          </w:p>
        </w:tc>
        <w:tc>
          <w:tcPr>
            <w:tcW w:w="4007" w:type="dxa"/>
            <w:vAlign w:val="center"/>
          </w:tcPr>
          <w:p w14:paraId="0C0D660C">
            <w:pPr>
              <w:spacing w:after="0" w:line="240" w:lineRule="auto"/>
            </w:pPr>
            <w:r>
              <w:rPr>
                <w:sz w:val="17"/>
              </w:rPr>
              <w:t>使用OpenAI、Codex等推动项目开发</w:t>
            </w:r>
          </w:p>
        </w:tc>
        <w:tc>
          <w:tcPr>
            <w:tcW w:w="3331" w:type="dxa"/>
            <w:vAlign w:val="center"/>
          </w:tcPr>
          <w:p w14:paraId="4DA2C6BF">
            <w:pPr>
              <w:spacing w:after="0" w:line="240" w:lineRule="auto"/>
            </w:pPr>
            <w:r>
              <w:rPr>
                <w:sz w:val="17"/>
              </w:rPr>
              <w:t>Agent工作流设计和增量开发</w:t>
            </w:r>
          </w:p>
        </w:tc>
      </w:tr>
    </w:tbl>
    <w:p w14:paraId="123493C6">
      <w:pPr>
        <w:pStyle w:val="3"/>
      </w:pPr>
      <w:r>
        <w:t>3. 五条首批业务链路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3142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163A5F"/>
          </w:tcPr>
          <w:p w14:paraId="5671F8F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业务链路</w:t>
            </w:r>
          </w:p>
        </w:tc>
        <w:tc>
          <w:tcPr>
            <w:tcW w:w="2498" w:type="dxa"/>
            <w:shd w:val="clear" w:color="auto" w:fill="163A5F"/>
          </w:tcPr>
          <w:p w14:paraId="59D27B4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情报信号</w:t>
            </w:r>
          </w:p>
        </w:tc>
        <w:tc>
          <w:tcPr>
            <w:tcW w:w="2498" w:type="dxa"/>
            <w:shd w:val="clear" w:color="auto" w:fill="163A5F"/>
          </w:tcPr>
          <w:p w14:paraId="0461A8A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匹配资源</w:t>
            </w:r>
          </w:p>
        </w:tc>
        <w:tc>
          <w:tcPr>
            <w:tcW w:w="2498" w:type="dxa"/>
            <w:shd w:val="clear" w:color="auto" w:fill="163A5F"/>
          </w:tcPr>
          <w:p w14:paraId="776365D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</w:tr>
      <w:tr w14:paraId="0DB7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76C8B926">
            <w:pPr>
              <w:spacing w:after="0" w:line="240" w:lineRule="auto"/>
            </w:pPr>
            <w:r>
              <w:rPr>
                <w:sz w:val="17"/>
              </w:rPr>
              <w:t>上海研发入孵</w:t>
            </w:r>
          </w:p>
        </w:tc>
        <w:tc>
          <w:tcPr>
            <w:tcW w:w="2498" w:type="dxa"/>
            <w:vAlign w:val="center"/>
          </w:tcPr>
          <w:p w14:paraId="1C586C59">
            <w:pPr>
              <w:spacing w:after="0" w:line="240" w:lineRule="auto"/>
            </w:pPr>
            <w:r>
              <w:rPr>
                <w:sz w:val="17"/>
              </w:rPr>
              <w:t>融资、扩招、研发中心、实验室搬迁</w:t>
            </w:r>
          </w:p>
        </w:tc>
        <w:tc>
          <w:tcPr>
            <w:tcW w:w="2498" w:type="dxa"/>
            <w:vAlign w:val="center"/>
          </w:tcPr>
          <w:p w14:paraId="265B2447">
            <w:pPr>
              <w:spacing w:after="0" w:line="240" w:lineRule="auto"/>
            </w:pPr>
            <w:r>
              <w:rPr>
                <w:sz w:val="17"/>
              </w:rPr>
              <w:t>Q-BAY空间、共享平台、实验室规划</w:t>
            </w:r>
          </w:p>
        </w:tc>
        <w:tc>
          <w:tcPr>
            <w:tcW w:w="2498" w:type="dxa"/>
            <w:vAlign w:val="center"/>
          </w:tcPr>
          <w:p w14:paraId="5ED8AF57">
            <w:pPr>
              <w:spacing w:after="0" w:line="240" w:lineRule="auto"/>
            </w:pPr>
            <w:r>
              <w:rPr>
                <w:sz w:val="17"/>
              </w:rPr>
              <w:t>参观、方案、入驻</w:t>
            </w:r>
          </w:p>
        </w:tc>
      </w:tr>
      <w:tr w14:paraId="6F21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F8FAFC"/>
            <w:vAlign w:val="center"/>
          </w:tcPr>
          <w:p w14:paraId="07C2F158">
            <w:pPr>
              <w:spacing w:after="0" w:line="240" w:lineRule="auto"/>
            </w:pPr>
            <w:r>
              <w:rPr>
                <w:sz w:val="17"/>
              </w:rPr>
              <w:t>上海研发—钱塘加速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6E0A1706">
            <w:pPr>
              <w:spacing w:after="0" w:line="240" w:lineRule="auto"/>
            </w:pPr>
            <w:r>
              <w:rPr>
                <w:sz w:val="17"/>
              </w:rPr>
              <w:t>中试、生产、扩产、政策与人才诉求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4F1D320E">
            <w:pPr>
              <w:spacing w:after="0" w:line="240" w:lineRule="auto"/>
            </w:pPr>
            <w:r>
              <w:rPr>
                <w:sz w:val="17"/>
              </w:rPr>
              <w:t>钱塘园区、医药港、招商与政策资源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70329729">
            <w:pPr>
              <w:spacing w:after="0" w:line="240" w:lineRule="auto"/>
            </w:pPr>
            <w:r>
              <w:rPr>
                <w:sz w:val="17"/>
              </w:rPr>
              <w:t>落地考察、政策测算、签约</w:t>
            </w:r>
          </w:p>
        </w:tc>
      </w:tr>
      <w:tr w14:paraId="79B5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47E27C53">
            <w:pPr>
              <w:spacing w:after="0" w:line="240" w:lineRule="auto"/>
            </w:pPr>
            <w:r>
              <w:rPr>
                <w:sz w:val="17"/>
              </w:rPr>
              <w:t>项目融资与路演</w:t>
            </w:r>
          </w:p>
        </w:tc>
        <w:tc>
          <w:tcPr>
            <w:tcW w:w="2498" w:type="dxa"/>
            <w:vAlign w:val="center"/>
          </w:tcPr>
          <w:p w14:paraId="229F784E">
            <w:pPr>
              <w:spacing w:after="0" w:line="240" w:lineRule="auto"/>
            </w:pPr>
            <w:r>
              <w:rPr>
                <w:sz w:val="17"/>
              </w:rPr>
              <w:t>新公司、临床前里程碑、融资计划</w:t>
            </w:r>
          </w:p>
        </w:tc>
        <w:tc>
          <w:tcPr>
            <w:tcW w:w="2498" w:type="dxa"/>
            <w:vAlign w:val="center"/>
          </w:tcPr>
          <w:p w14:paraId="28FE35B4">
            <w:pPr>
              <w:spacing w:after="0" w:line="240" w:lineRule="auto"/>
            </w:pPr>
            <w:r>
              <w:rPr>
                <w:sz w:val="17"/>
              </w:rPr>
              <w:t>俱乐部投资人、上市公司产业方、路演活动</w:t>
            </w:r>
          </w:p>
        </w:tc>
        <w:tc>
          <w:tcPr>
            <w:tcW w:w="2498" w:type="dxa"/>
            <w:vAlign w:val="center"/>
          </w:tcPr>
          <w:p w14:paraId="268C43D0">
            <w:pPr>
              <w:spacing w:after="0" w:line="240" w:lineRule="auto"/>
            </w:pPr>
            <w:r>
              <w:rPr>
                <w:sz w:val="17"/>
              </w:rPr>
              <w:t>投资对接、产业合作</w:t>
            </w:r>
          </w:p>
        </w:tc>
      </w:tr>
      <w:tr w14:paraId="2AD3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F8FAFC"/>
            <w:vAlign w:val="center"/>
          </w:tcPr>
          <w:p w14:paraId="5F7036AA">
            <w:pPr>
              <w:spacing w:after="0" w:line="240" w:lineRule="auto"/>
            </w:pPr>
            <w:r>
              <w:rPr>
                <w:sz w:val="17"/>
              </w:rPr>
              <w:t>研发服务撮合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6BCD7274">
            <w:pPr>
              <w:spacing w:after="0" w:line="240" w:lineRule="auto"/>
            </w:pPr>
            <w:r>
              <w:rPr>
                <w:sz w:val="17"/>
              </w:rPr>
              <w:t>药效、药代、毒理、临床、注册、组学需求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07D56BD9">
            <w:pPr>
              <w:spacing w:after="0" w:line="240" w:lineRule="auto"/>
            </w:pPr>
            <w:r>
              <w:rPr>
                <w:sz w:val="17"/>
              </w:rPr>
              <w:t>CRO/CDMO、检测机构、用户专业网络</w:t>
            </w:r>
          </w:p>
        </w:tc>
        <w:tc>
          <w:tcPr>
            <w:tcW w:w="2498" w:type="dxa"/>
            <w:shd w:val="clear" w:color="auto" w:fill="F8FAFC"/>
            <w:vAlign w:val="center"/>
          </w:tcPr>
          <w:p w14:paraId="3C4587FE">
            <w:pPr>
              <w:spacing w:after="0" w:line="240" w:lineRule="auto"/>
            </w:pPr>
            <w:r>
              <w:rPr>
                <w:sz w:val="17"/>
              </w:rPr>
              <w:t>服务采购、联合方案</w:t>
            </w:r>
          </w:p>
        </w:tc>
      </w:tr>
      <w:tr w14:paraId="00F7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6F5D7FFC">
            <w:pPr>
              <w:spacing w:after="0" w:line="240" w:lineRule="auto"/>
            </w:pPr>
            <w:r>
              <w:rPr>
                <w:sz w:val="17"/>
              </w:rPr>
              <w:t>访谈内容获客</w:t>
            </w:r>
          </w:p>
        </w:tc>
        <w:tc>
          <w:tcPr>
            <w:tcW w:w="2498" w:type="dxa"/>
            <w:vAlign w:val="center"/>
          </w:tcPr>
          <w:p w14:paraId="5F2590C9">
            <w:pPr>
              <w:spacing w:after="0" w:line="240" w:lineRule="auto"/>
            </w:pPr>
            <w:r>
              <w:rPr>
                <w:sz w:val="17"/>
              </w:rPr>
              <w:t>创始人重要进展、投资人观点、园区政策</w:t>
            </w:r>
          </w:p>
        </w:tc>
        <w:tc>
          <w:tcPr>
            <w:tcW w:w="2498" w:type="dxa"/>
            <w:vAlign w:val="center"/>
          </w:tcPr>
          <w:p w14:paraId="01EB0086">
            <w:pPr>
              <w:spacing w:after="0" w:line="240" w:lineRule="auto"/>
            </w:pPr>
            <w:r>
              <w:rPr>
                <w:sz w:val="17"/>
              </w:rPr>
              <w:t>赫利克斯访谈、公众号、视频号、活动</w:t>
            </w:r>
          </w:p>
        </w:tc>
        <w:tc>
          <w:tcPr>
            <w:tcW w:w="2498" w:type="dxa"/>
            <w:vAlign w:val="center"/>
          </w:tcPr>
          <w:p w14:paraId="4BC57A88">
            <w:pPr>
              <w:spacing w:after="0" w:line="240" w:lineRule="auto"/>
            </w:pPr>
            <w:r>
              <w:rPr>
                <w:sz w:val="17"/>
              </w:rPr>
              <w:t>关系建立、品牌传播、线索沉淀</w:t>
            </w:r>
          </w:p>
        </w:tc>
      </w:tr>
    </w:tbl>
    <w:p w14:paraId="56F30C80">
      <w:pPr>
        <w:pStyle w:val="3"/>
      </w:pPr>
      <w:r>
        <w:t>4. 已知重点人物与角色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09BA5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shd w:val="clear" w:color="auto" w:fill="163A5F"/>
          </w:tcPr>
          <w:p w14:paraId="00F03CF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人物/群体</w:t>
            </w:r>
          </w:p>
        </w:tc>
        <w:tc>
          <w:tcPr>
            <w:tcW w:w="1999" w:type="dxa"/>
            <w:shd w:val="clear" w:color="auto" w:fill="163A5F"/>
          </w:tcPr>
          <w:p w14:paraId="59454E4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公开角色</w:t>
            </w:r>
          </w:p>
        </w:tc>
        <w:tc>
          <w:tcPr>
            <w:tcW w:w="1999" w:type="dxa"/>
            <w:shd w:val="clear" w:color="auto" w:fill="163A5F"/>
          </w:tcPr>
          <w:p w14:paraId="3B1BF89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可提供价值</w:t>
            </w:r>
          </w:p>
        </w:tc>
        <w:tc>
          <w:tcPr>
            <w:tcW w:w="1999" w:type="dxa"/>
            <w:shd w:val="clear" w:color="auto" w:fill="163A5F"/>
          </w:tcPr>
          <w:p w14:paraId="6D6A6CB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系统权限</w:t>
            </w:r>
          </w:p>
        </w:tc>
        <w:tc>
          <w:tcPr>
            <w:tcW w:w="1999" w:type="dxa"/>
            <w:shd w:val="clear" w:color="auto" w:fill="163A5F"/>
          </w:tcPr>
          <w:p w14:paraId="2328246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14:paraId="17E7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vAlign w:val="center"/>
          </w:tcPr>
          <w:p w14:paraId="3C8B3353">
            <w:pPr>
              <w:spacing w:after="0" w:line="240" w:lineRule="auto"/>
            </w:pPr>
            <w:r>
              <w:rPr>
                <w:sz w:val="17"/>
              </w:rPr>
              <w:t>许毛毛</w:t>
            </w:r>
          </w:p>
        </w:tc>
        <w:tc>
          <w:tcPr>
            <w:tcW w:w="1999" w:type="dxa"/>
            <w:vAlign w:val="center"/>
          </w:tcPr>
          <w:p w14:paraId="2BBE77AD">
            <w:pPr>
              <w:spacing w:after="0" w:line="240" w:lineRule="auto"/>
            </w:pPr>
            <w:r>
              <w:rPr>
                <w:sz w:val="17"/>
              </w:rPr>
              <w:t>Q-BAY俱乐部联合发起人、Q-BAY（上海）项目负责人、和达高科驻沪招商代表</w:t>
            </w:r>
          </w:p>
        </w:tc>
        <w:tc>
          <w:tcPr>
            <w:tcW w:w="1999" w:type="dxa"/>
            <w:vAlign w:val="center"/>
          </w:tcPr>
          <w:p w14:paraId="7416851D">
            <w:pPr>
              <w:spacing w:after="0" w:line="240" w:lineRule="auto"/>
            </w:pPr>
            <w:r>
              <w:rPr>
                <w:sz w:val="17"/>
              </w:rPr>
              <w:t>企业、政府、基金资源；沪杭协同；园区招商与投后经验</w:t>
            </w:r>
          </w:p>
        </w:tc>
        <w:tc>
          <w:tcPr>
            <w:tcW w:w="1999" w:type="dxa"/>
            <w:vAlign w:val="center"/>
          </w:tcPr>
          <w:p w14:paraId="31496756">
            <w:pPr>
              <w:spacing w:after="0" w:line="240" w:lineRule="auto"/>
            </w:pPr>
            <w:r>
              <w:rPr>
                <w:sz w:val="17"/>
              </w:rPr>
              <w:t>内部</w:t>
            </w:r>
          </w:p>
        </w:tc>
        <w:tc>
          <w:tcPr>
            <w:tcW w:w="1999" w:type="dxa"/>
            <w:vAlign w:val="center"/>
          </w:tcPr>
          <w:p w14:paraId="3DDC9A15">
            <w:pPr>
              <w:spacing w:after="0" w:line="240" w:lineRule="auto"/>
            </w:pPr>
            <w:r>
              <w:rPr>
                <w:sz w:val="17"/>
              </w:rPr>
              <w:t>历史对话明确</w:t>
            </w:r>
          </w:p>
        </w:tc>
      </w:tr>
      <w:tr w14:paraId="7B3F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shd w:val="clear" w:color="auto" w:fill="F8FAFC"/>
            <w:vAlign w:val="center"/>
          </w:tcPr>
          <w:p w14:paraId="71E17591">
            <w:pPr>
              <w:spacing w:after="0" w:line="240" w:lineRule="auto"/>
            </w:pPr>
            <w:r>
              <w:rPr>
                <w:sz w:val="17"/>
              </w:rPr>
              <w:t>用户本人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3710C90A">
            <w:pPr>
              <w:spacing w:after="0" w:line="240" w:lineRule="auto"/>
            </w:pPr>
            <w:r>
              <w:rPr>
                <w:sz w:val="17"/>
              </w:rPr>
              <w:t>Q-BAY项目负责人/运营者、产业情报系统负责人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7B496B96">
            <w:pPr>
              <w:spacing w:after="0" w:line="240" w:lineRule="auto"/>
            </w:pPr>
            <w:r>
              <w:rPr>
                <w:sz w:val="17"/>
              </w:rPr>
              <w:t>项目筛选、实验室、招商、活动、投融资连接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260A079D">
            <w:pPr>
              <w:spacing w:after="0" w:line="240" w:lineRule="auto"/>
            </w:pPr>
            <w:r>
              <w:rPr>
                <w:sz w:val="17"/>
              </w:rPr>
              <w:t>本人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5EDE9BDA">
            <w:pPr>
              <w:spacing w:after="0" w:line="240" w:lineRule="auto"/>
            </w:pPr>
            <w:r>
              <w:rPr>
                <w:sz w:val="17"/>
              </w:rPr>
              <w:t>明确</w:t>
            </w:r>
          </w:p>
        </w:tc>
      </w:tr>
      <w:tr w14:paraId="1E1B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vAlign w:val="center"/>
          </w:tcPr>
          <w:p w14:paraId="0B532AD8">
            <w:pPr>
              <w:spacing w:after="0" w:line="240" w:lineRule="auto"/>
            </w:pPr>
            <w:r>
              <w:rPr>
                <w:rFonts w:hint="eastAsia"/>
                <w:sz w:val="17"/>
                <w:lang w:val="en-US" w:eastAsia="zh-CN"/>
              </w:rPr>
              <w:t>会员</w:t>
            </w:r>
            <w:r>
              <w:rPr>
                <w:sz w:val="17"/>
              </w:rPr>
              <w:t>群体</w:t>
            </w:r>
          </w:p>
        </w:tc>
        <w:tc>
          <w:tcPr>
            <w:tcW w:w="1999" w:type="dxa"/>
            <w:vAlign w:val="center"/>
          </w:tcPr>
          <w:p w14:paraId="5187D7D2">
            <w:pPr>
              <w:spacing w:after="0" w:line="240" w:lineRule="auto"/>
            </w:pPr>
            <w:r>
              <w:rPr>
                <w:sz w:val="17"/>
              </w:rPr>
              <w:t>Q-BAY俱乐部俱乐部核心资源连接者</w:t>
            </w:r>
          </w:p>
        </w:tc>
        <w:tc>
          <w:tcPr>
            <w:tcW w:w="1999" w:type="dxa"/>
            <w:vAlign w:val="center"/>
          </w:tcPr>
          <w:p w14:paraId="63E1AC44">
            <w:pPr>
              <w:spacing w:after="0" w:line="240" w:lineRule="auto"/>
            </w:pPr>
            <w:r>
              <w:rPr>
                <w:sz w:val="17"/>
              </w:rPr>
              <w:t>政策、资金、人才、客户和业务连接</w:t>
            </w:r>
          </w:p>
        </w:tc>
        <w:tc>
          <w:tcPr>
            <w:tcW w:w="1999" w:type="dxa"/>
            <w:vAlign w:val="center"/>
          </w:tcPr>
          <w:p w14:paraId="4D409D36">
            <w:pPr>
              <w:spacing w:after="0" w:line="240" w:lineRule="auto"/>
            </w:pPr>
            <w:r>
              <w:rPr>
                <w:sz w:val="17"/>
              </w:rPr>
              <w:t>内部/限制</w:t>
            </w:r>
          </w:p>
        </w:tc>
        <w:tc>
          <w:tcPr>
            <w:tcW w:w="1999" w:type="dxa"/>
            <w:vAlign w:val="center"/>
          </w:tcPr>
          <w:p w14:paraId="365C3D56">
            <w:pPr>
              <w:spacing w:after="0" w:line="240" w:lineRule="auto"/>
            </w:pPr>
            <w:r>
              <w:rPr>
                <w:sz w:val="17"/>
              </w:rPr>
              <w:t>明确</w:t>
            </w:r>
          </w:p>
        </w:tc>
      </w:tr>
      <w:tr w14:paraId="646B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shd w:val="clear" w:color="auto" w:fill="F8FAFC"/>
            <w:vAlign w:val="center"/>
          </w:tcPr>
          <w:p w14:paraId="00161726">
            <w:pPr>
              <w:spacing w:after="0" w:line="240" w:lineRule="auto"/>
            </w:pPr>
            <w:r>
              <w:rPr>
                <w:sz w:val="17"/>
              </w:rPr>
              <w:t>专家组主委/政委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744552FA">
            <w:pPr>
              <w:spacing w:after="0" w:line="240" w:lineRule="auto"/>
            </w:pPr>
            <w:r>
              <w:rPr>
                <w:sz w:val="17"/>
              </w:rPr>
              <w:t>项目评审、组织和资源协同负责人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300C1A00">
            <w:pPr>
              <w:spacing w:after="0" w:line="240" w:lineRule="auto"/>
            </w:pPr>
            <w:r>
              <w:rPr>
                <w:sz w:val="17"/>
              </w:rPr>
              <w:t>项目评估、专业资源和活动组织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19B49529">
            <w:pPr>
              <w:spacing w:after="0" w:line="240" w:lineRule="auto"/>
            </w:pPr>
            <w:r>
              <w:rPr>
                <w:sz w:val="17"/>
              </w:rPr>
              <w:t>内部/限制</w:t>
            </w:r>
            <w:bookmarkStart w:id="0" w:name="_GoBack"/>
            <w:bookmarkEnd w:id="0"/>
          </w:p>
        </w:tc>
        <w:tc>
          <w:tcPr>
            <w:tcW w:w="1999" w:type="dxa"/>
            <w:shd w:val="clear" w:color="auto" w:fill="F8FAFC"/>
            <w:vAlign w:val="center"/>
          </w:tcPr>
          <w:p w14:paraId="33726BCB">
            <w:pPr>
              <w:spacing w:after="0" w:line="240" w:lineRule="auto"/>
            </w:pPr>
            <w:r>
              <w:rPr>
                <w:sz w:val="17"/>
              </w:rPr>
              <w:t>明确</w:t>
            </w:r>
          </w:p>
        </w:tc>
      </w:tr>
      <w:tr w14:paraId="00373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vAlign w:val="center"/>
          </w:tcPr>
          <w:p w14:paraId="3DAE7990">
            <w:pPr>
              <w:spacing w:after="0" w:line="240" w:lineRule="auto"/>
            </w:pPr>
            <w:r>
              <w:rPr>
                <w:sz w:val="17"/>
              </w:rPr>
              <w:t>创始人/科学家嘉宾</w:t>
            </w:r>
          </w:p>
        </w:tc>
        <w:tc>
          <w:tcPr>
            <w:tcW w:w="1999" w:type="dxa"/>
            <w:vAlign w:val="center"/>
          </w:tcPr>
          <w:p w14:paraId="7B237955">
            <w:pPr>
              <w:spacing w:after="0" w:line="240" w:lineRule="auto"/>
            </w:pPr>
            <w:r>
              <w:rPr>
                <w:sz w:val="17"/>
              </w:rPr>
              <w:t>赫利克斯访谈与项目来源</w:t>
            </w:r>
          </w:p>
        </w:tc>
        <w:tc>
          <w:tcPr>
            <w:tcW w:w="1999" w:type="dxa"/>
            <w:vAlign w:val="center"/>
          </w:tcPr>
          <w:p w14:paraId="2750EF27">
            <w:pPr>
              <w:spacing w:after="0" w:line="240" w:lineRule="auto"/>
            </w:pPr>
            <w:r>
              <w:rPr>
                <w:sz w:val="17"/>
              </w:rPr>
              <w:t>项目、技术、行业观点和合作需求</w:t>
            </w:r>
          </w:p>
        </w:tc>
        <w:tc>
          <w:tcPr>
            <w:tcW w:w="1999" w:type="dxa"/>
            <w:vAlign w:val="center"/>
          </w:tcPr>
          <w:p w14:paraId="29C2B1D7">
            <w:pPr>
              <w:spacing w:after="0" w:line="240" w:lineRule="auto"/>
            </w:pPr>
            <w:r>
              <w:rPr>
                <w:sz w:val="17"/>
              </w:rPr>
              <w:t>内部/授权公开</w:t>
            </w:r>
          </w:p>
        </w:tc>
        <w:tc>
          <w:tcPr>
            <w:tcW w:w="1999" w:type="dxa"/>
            <w:vAlign w:val="center"/>
          </w:tcPr>
          <w:p w14:paraId="32360C4B">
            <w:pPr>
              <w:spacing w:after="0" w:line="240" w:lineRule="auto"/>
            </w:pPr>
            <w:r>
              <w:rPr>
                <w:sz w:val="17"/>
              </w:rPr>
              <w:t>待导入名单</w:t>
            </w:r>
          </w:p>
        </w:tc>
      </w:tr>
      <w:tr w14:paraId="0E1C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shd w:val="clear" w:color="auto" w:fill="F8FAFC"/>
            <w:vAlign w:val="center"/>
          </w:tcPr>
          <w:p w14:paraId="2A8CDD94">
            <w:pPr>
              <w:spacing w:after="0" w:line="240" w:lineRule="auto"/>
            </w:pPr>
            <w:r>
              <w:rPr>
                <w:sz w:val="17"/>
              </w:rPr>
              <w:t>投资人/上市公司高管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42C133CE">
            <w:pPr>
              <w:spacing w:after="0" w:line="240" w:lineRule="auto"/>
            </w:pPr>
            <w:r>
              <w:rPr>
                <w:sz w:val="17"/>
              </w:rPr>
              <w:t>资本和产业协同来源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77202834">
            <w:pPr>
              <w:spacing w:after="0" w:line="240" w:lineRule="auto"/>
            </w:pPr>
            <w:r>
              <w:rPr>
                <w:sz w:val="17"/>
              </w:rPr>
              <w:t>投资、BD、并购、客户和渠道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5C633194">
            <w:pPr>
              <w:spacing w:after="0" w:line="240" w:lineRule="auto"/>
            </w:pPr>
            <w:r>
              <w:rPr>
                <w:sz w:val="17"/>
              </w:rPr>
              <w:t>限制</w:t>
            </w:r>
          </w:p>
        </w:tc>
        <w:tc>
          <w:tcPr>
            <w:tcW w:w="1999" w:type="dxa"/>
            <w:shd w:val="clear" w:color="auto" w:fill="F8FAFC"/>
            <w:vAlign w:val="center"/>
          </w:tcPr>
          <w:p w14:paraId="66504498">
            <w:pPr>
              <w:spacing w:after="0" w:line="240" w:lineRule="auto"/>
            </w:pPr>
            <w:r>
              <w:rPr>
                <w:sz w:val="17"/>
              </w:rPr>
              <w:t>待导入名单</w:t>
            </w:r>
          </w:p>
        </w:tc>
      </w:tr>
    </w:tbl>
    <w:p w14:paraId="1C9CF153">
      <w:pPr>
        <w:pStyle w:val="3"/>
      </w:pPr>
      <w:r>
        <w:t>5. 活动资源沉淀规则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168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63A5F"/>
          </w:tcPr>
          <w:p w14:paraId="79D3DB5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历史活动/机制</w:t>
            </w:r>
          </w:p>
        </w:tc>
        <w:tc>
          <w:tcPr>
            <w:tcW w:w="3331" w:type="dxa"/>
            <w:shd w:val="clear" w:color="auto" w:fill="163A5F"/>
          </w:tcPr>
          <w:p w14:paraId="1E48252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应沉淀的数据</w:t>
            </w:r>
          </w:p>
        </w:tc>
        <w:tc>
          <w:tcPr>
            <w:tcW w:w="3331" w:type="dxa"/>
            <w:shd w:val="clear" w:color="auto" w:fill="163A5F"/>
          </w:tcPr>
          <w:p w14:paraId="5BB6BD2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可触发的Agent动作</w:t>
            </w:r>
          </w:p>
        </w:tc>
      </w:tr>
      <w:tr w14:paraId="6473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9694E7A">
            <w:pPr>
              <w:spacing w:after="0" w:line="240" w:lineRule="auto"/>
            </w:pPr>
            <w:r>
              <w:rPr>
                <w:sz w:val="17"/>
              </w:rPr>
              <w:t>链接官培训大会及专家组换届</w:t>
            </w:r>
          </w:p>
        </w:tc>
        <w:tc>
          <w:tcPr>
            <w:tcW w:w="3331" w:type="dxa"/>
            <w:vAlign w:val="center"/>
          </w:tcPr>
          <w:p w14:paraId="7A672AF8">
            <w:pPr>
              <w:spacing w:after="0" w:line="240" w:lineRule="auto"/>
            </w:pPr>
            <w:r>
              <w:rPr>
                <w:sz w:val="17"/>
              </w:rPr>
              <w:t>参与人、机构、资源标签、职务、互动和后续需求</w:t>
            </w:r>
          </w:p>
        </w:tc>
        <w:tc>
          <w:tcPr>
            <w:tcW w:w="3331" w:type="dxa"/>
            <w:vAlign w:val="center"/>
          </w:tcPr>
          <w:p w14:paraId="4AB58B97">
            <w:pPr>
              <w:spacing w:after="0" w:line="240" w:lineRule="auto"/>
            </w:pPr>
            <w:r>
              <w:rPr>
                <w:sz w:val="17"/>
              </w:rPr>
              <w:t>人物关系更新、邀请和资源匹配</w:t>
            </w:r>
          </w:p>
        </w:tc>
      </w:tr>
      <w:tr w14:paraId="38FE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63C38BE4">
            <w:pPr>
              <w:spacing w:after="0" w:line="240" w:lineRule="auto"/>
            </w:pPr>
            <w:r>
              <w:rPr>
                <w:sz w:val="17"/>
              </w:rPr>
              <w:t>RWA分会成立活动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4A015E3F">
            <w:pPr>
              <w:spacing w:after="0" w:line="240" w:lineRule="auto"/>
            </w:pPr>
            <w:r>
              <w:rPr>
                <w:sz w:val="17"/>
              </w:rPr>
              <w:t>机构、签约、产业资源和主题兴趣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5B2D55BB">
            <w:pPr>
              <w:spacing w:after="0" w:line="240" w:lineRule="auto"/>
            </w:pPr>
            <w:r>
              <w:rPr>
                <w:sz w:val="17"/>
              </w:rPr>
              <w:t>辅助跨产业网络，不作为生物医药主线标记辅助</w:t>
            </w:r>
          </w:p>
        </w:tc>
      </w:tr>
      <w:tr w14:paraId="6399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52844FD1">
            <w:pPr>
              <w:spacing w:after="0" w:line="240" w:lineRule="auto"/>
            </w:pPr>
            <w:r>
              <w:rPr>
                <w:sz w:val="17"/>
              </w:rPr>
              <w:t>创投分会成立暨硬科技路演</w:t>
            </w:r>
          </w:p>
        </w:tc>
        <w:tc>
          <w:tcPr>
            <w:tcW w:w="3331" w:type="dxa"/>
            <w:vAlign w:val="center"/>
          </w:tcPr>
          <w:p w14:paraId="0D6E4080">
            <w:pPr>
              <w:spacing w:after="0" w:line="240" w:lineRule="auto"/>
            </w:pPr>
            <w:r>
              <w:rPr>
                <w:sz w:val="17"/>
              </w:rPr>
              <w:t>项目、投资人、评委、产业方、融资需求</w:t>
            </w:r>
          </w:p>
        </w:tc>
        <w:tc>
          <w:tcPr>
            <w:tcW w:w="3331" w:type="dxa"/>
            <w:vAlign w:val="center"/>
          </w:tcPr>
          <w:p w14:paraId="14BF4C0B">
            <w:pPr>
              <w:spacing w:after="0" w:line="240" w:lineRule="auto"/>
            </w:pPr>
            <w:r>
              <w:rPr>
                <w:sz w:val="17"/>
              </w:rPr>
              <w:t>项目融资匹配和复访</w:t>
            </w:r>
          </w:p>
        </w:tc>
      </w:tr>
      <w:tr w14:paraId="5C9A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3F1D2FC3">
            <w:pPr>
              <w:spacing w:after="0" w:line="240" w:lineRule="auto"/>
            </w:pPr>
            <w:r>
              <w:rPr>
                <w:sz w:val="17"/>
              </w:rPr>
              <w:t>项目闭门路演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6C39FDC">
            <w:pPr>
              <w:spacing w:after="0" w:line="240" w:lineRule="auto"/>
            </w:pPr>
            <w:r>
              <w:rPr>
                <w:sz w:val="17"/>
              </w:rPr>
              <w:t>BP摘要、赛道、阶段、需求、参会机构、反馈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12EFFD14">
            <w:pPr>
              <w:spacing w:after="0" w:line="240" w:lineRule="auto"/>
            </w:pPr>
            <w:r>
              <w:rPr>
                <w:sz w:val="17"/>
              </w:rPr>
              <w:t>项目评分、投资偏好更新、跟进任务</w:t>
            </w:r>
          </w:p>
        </w:tc>
      </w:tr>
      <w:tr w14:paraId="5FA3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D3205E7">
            <w:pPr>
              <w:spacing w:after="0" w:line="240" w:lineRule="auto"/>
            </w:pPr>
            <w:r>
              <w:rPr>
                <w:sz w:val="17"/>
              </w:rPr>
              <w:t>Q-BAY人物访谈</w:t>
            </w:r>
          </w:p>
        </w:tc>
        <w:tc>
          <w:tcPr>
            <w:tcW w:w="3331" w:type="dxa"/>
            <w:vAlign w:val="center"/>
          </w:tcPr>
          <w:p w14:paraId="180F4DBF">
            <w:pPr>
              <w:spacing w:after="0" w:line="240" w:lineRule="auto"/>
            </w:pPr>
            <w:r>
              <w:rPr>
                <w:sz w:val="17"/>
              </w:rPr>
              <w:t>嘉宾画像、观点、项目进展、可提供/所需资源</w:t>
            </w:r>
          </w:p>
        </w:tc>
        <w:tc>
          <w:tcPr>
            <w:tcW w:w="3331" w:type="dxa"/>
            <w:vAlign w:val="center"/>
          </w:tcPr>
          <w:p w14:paraId="0045C829">
            <w:pPr>
              <w:spacing w:after="0" w:line="240" w:lineRule="auto"/>
            </w:pPr>
            <w:r>
              <w:rPr>
                <w:sz w:val="17"/>
              </w:rPr>
              <w:t>内容发布、关系沉淀、合作机会</w:t>
            </w:r>
          </w:p>
        </w:tc>
      </w:tr>
      <w:tr w14:paraId="2E70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5997CABC">
            <w:pPr>
              <w:spacing w:after="0" w:line="240" w:lineRule="auto"/>
            </w:pPr>
            <w:r>
              <w:rPr>
                <w:sz w:val="17"/>
              </w:rPr>
              <w:t>每周项目交流会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96F06DE">
            <w:pPr>
              <w:spacing w:after="0" w:line="240" w:lineRule="auto"/>
            </w:pPr>
            <w:r>
              <w:rPr>
                <w:sz w:val="17"/>
              </w:rPr>
              <w:t>项目案例、服务资源、跟进状态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2537A958">
            <w:pPr>
              <w:spacing w:after="0" w:line="240" w:lineRule="auto"/>
            </w:pPr>
            <w:r>
              <w:rPr>
                <w:sz w:val="17"/>
              </w:rPr>
              <w:t>需求资源匹配和周行动清单</w:t>
            </w:r>
          </w:p>
        </w:tc>
      </w:tr>
    </w:tbl>
    <w:p w14:paraId="2B72B319">
      <w:pPr>
        <w:pStyle w:val="3"/>
      </w:pPr>
      <w:r>
        <w:t>6. 项目评分专属加权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418D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63A5F"/>
          </w:tcPr>
          <w:p w14:paraId="309BA13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评分项</w:t>
            </w:r>
          </w:p>
        </w:tc>
        <w:tc>
          <w:tcPr>
            <w:tcW w:w="3331" w:type="dxa"/>
            <w:shd w:val="clear" w:color="auto" w:fill="163A5F"/>
          </w:tcPr>
          <w:p w14:paraId="31B2A54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基础权重</w:t>
            </w:r>
          </w:p>
        </w:tc>
        <w:tc>
          <w:tcPr>
            <w:tcW w:w="3331" w:type="dxa"/>
            <w:shd w:val="clear" w:color="auto" w:fill="163A5F"/>
          </w:tcPr>
          <w:p w14:paraId="4D7B4E6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专属加分</w:t>
            </w:r>
          </w:p>
        </w:tc>
      </w:tr>
      <w:tr w14:paraId="5AAD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517F3012">
            <w:pPr>
              <w:spacing w:after="0" w:line="240" w:lineRule="auto"/>
            </w:pPr>
            <w:r>
              <w:rPr>
                <w:sz w:val="17"/>
              </w:rPr>
              <w:t>产业与技术匹配</w:t>
            </w:r>
          </w:p>
        </w:tc>
        <w:tc>
          <w:tcPr>
            <w:tcW w:w="3331" w:type="dxa"/>
            <w:vAlign w:val="center"/>
          </w:tcPr>
          <w:p w14:paraId="6608A1E4">
            <w:pPr>
              <w:spacing w:after="0" w:line="240" w:lineRule="auto"/>
            </w:pPr>
            <w:r>
              <w:rPr>
                <w:sz w:val="17"/>
              </w:rPr>
              <w:t>20</w:t>
            </w:r>
          </w:p>
        </w:tc>
        <w:tc>
          <w:tcPr>
            <w:tcW w:w="3331" w:type="dxa"/>
            <w:vAlign w:val="center"/>
          </w:tcPr>
          <w:p w14:paraId="6CB9E89F">
            <w:pPr>
              <w:spacing w:after="0" w:line="240" w:lineRule="auto"/>
            </w:pPr>
            <w:r>
              <w:rPr>
                <w:sz w:val="17"/>
              </w:rPr>
              <w:t>生命科学工具、组学、创新药、器械、AI制药、CRO/CDMO优先</w:t>
            </w:r>
          </w:p>
        </w:tc>
      </w:tr>
      <w:tr w14:paraId="40E1C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4A76E19F">
            <w:pPr>
              <w:spacing w:after="0" w:line="240" w:lineRule="auto"/>
            </w:pPr>
            <w:r>
              <w:rPr>
                <w:sz w:val="17"/>
              </w:rPr>
              <w:t>真实发展信号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41373559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1A4A14A1">
            <w:pPr>
              <w:spacing w:after="0" w:line="240" w:lineRule="auto"/>
            </w:pPr>
            <w:r>
              <w:rPr>
                <w:sz w:val="17"/>
              </w:rPr>
              <w:t>融资、招聘、临床/注册、基地建设等有权威证据</w:t>
            </w:r>
          </w:p>
        </w:tc>
      </w:tr>
      <w:tr w14:paraId="2394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1C521D96">
            <w:pPr>
              <w:spacing w:after="0" w:line="240" w:lineRule="auto"/>
            </w:pPr>
            <w:r>
              <w:rPr>
                <w:sz w:val="17"/>
              </w:rPr>
              <w:t>上海研发需求</w:t>
            </w:r>
          </w:p>
        </w:tc>
        <w:tc>
          <w:tcPr>
            <w:tcW w:w="3331" w:type="dxa"/>
            <w:vAlign w:val="center"/>
          </w:tcPr>
          <w:p w14:paraId="45C4847E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331" w:type="dxa"/>
            <w:vAlign w:val="center"/>
          </w:tcPr>
          <w:p w14:paraId="01CB2FC8">
            <w:pPr>
              <w:spacing w:after="0" w:line="240" w:lineRule="auto"/>
            </w:pPr>
            <w:r>
              <w:rPr>
                <w:sz w:val="17"/>
              </w:rPr>
              <w:t>需要张江办公、实验室、共享平台或公司注册</w:t>
            </w:r>
          </w:p>
        </w:tc>
      </w:tr>
      <w:tr w14:paraId="5ABD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1DB229CC">
            <w:pPr>
              <w:spacing w:after="0" w:line="240" w:lineRule="auto"/>
            </w:pPr>
            <w:r>
              <w:rPr>
                <w:sz w:val="17"/>
              </w:rPr>
              <w:t>钱塘产业化可能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558B8EC4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4522F502">
            <w:pPr>
              <w:spacing w:after="0" w:line="240" w:lineRule="auto"/>
            </w:pPr>
            <w:r>
              <w:rPr>
                <w:sz w:val="17"/>
              </w:rPr>
              <w:t>中试、生产、扩产、人才和区域政策需求</w:t>
            </w:r>
          </w:p>
        </w:tc>
      </w:tr>
      <w:tr w14:paraId="24DF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1648C83">
            <w:pPr>
              <w:spacing w:after="0" w:line="240" w:lineRule="auto"/>
            </w:pPr>
            <w:r>
              <w:rPr>
                <w:sz w:val="17"/>
              </w:rPr>
              <w:t>资本/产业协同价值</w:t>
            </w:r>
          </w:p>
        </w:tc>
        <w:tc>
          <w:tcPr>
            <w:tcW w:w="3331" w:type="dxa"/>
            <w:vAlign w:val="center"/>
          </w:tcPr>
          <w:p w14:paraId="5C613439">
            <w:pPr>
              <w:spacing w:after="0" w:line="240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331" w:type="dxa"/>
            <w:vAlign w:val="center"/>
          </w:tcPr>
          <w:p w14:paraId="5BA8CE00">
            <w:pPr>
              <w:spacing w:after="0" w:line="240" w:lineRule="auto"/>
            </w:pPr>
            <w:r>
              <w:rPr>
                <w:sz w:val="17"/>
              </w:rPr>
              <w:t>可匹配投资人、上市公司、药企或并购BD</w:t>
            </w:r>
          </w:p>
        </w:tc>
      </w:tr>
      <w:tr w14:paraId="5FAD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123ABA48">
            <w:pPr>
              <w:spacing w:after="0" w:line="240" w:lineRule="auto"/>
            </w:pPr>
            <w:r>
              <w:rPr>
                <w:sz w:val="17"/>
              </w:rPr>
              <w:t>团队与成果质量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3080E2E"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30A47700">
            <w:pPr>
              <w:spacing w:after="0" w:line="240" w:lineRule="auto"/>
            </w:pPr>
            <w:r>
              <w:rPr>
                <w:sz w:val="17"/>
              </w:rPr>
              <w:t>高校医院、产业资深团队、专利及关键数据</w:t>
            </w:r>
          </w:p>
        </w:tc>
      </w:tr>
      <w:tr w14:paraId="4534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120D790A">
            <w:pPr>
              <w:spacing w:after="0" w:line="240" w:lineRule="auto"/>
            </w:pPr>
            <w:r>
              <w:rPr>
                <w:sz w:val="17"/>
              </w:rPr>
              <w:t>活动与内容价值</w:t>
            </w:r>
          </w:p>
        </w:tc>
        <w:tc>
          <w:tcPr>
            <w:tcW w:w="3331" w:type="dxa"/>
            <w:vAlign w:val="center"/>
          </w:tcPr>
          <w:p w14:paraId="4D02FAA3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3331" w:type="dxa"/>
            <w:vAlign w:val="center"/>
          </w:tcPr>
          <w:p w14:paraId="5FA2B49D">
            <w:pPr>
              <w:spacing w:after="0" w:line="240" w:lineRule="auto"/>
            </w:pPr>
            <w:r>
              <w:rPr>
                <w:sz w:val="17"/>
              </w:rPr>
              <w:t>适合访谈、路演、论坛或案例传播</w:t>
            </w:r>
          </w:p>
        </w:tc>
      </w:tr>
      <w:tr w14:paraId="7CB1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F8FAFC"/>
            <w:vAlign w:val="center"/>
          </w:tcPr>
          <w:p w14:paraId="436576F3">
            <w:pPr>
              <w:spacing w:after="0" w:line="240" w:lineRule="auto"/>
            </w:pPr>
            <w:r>
              <w:rPr>
                <w:sz w:val="17"/>
              </w:rPr>
              <w:t>关系可触达性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A64F1B9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3331" w:type="dxa"/>
            <w:shd w:val="clear" w:color="auto" w:fill="F8FAFC"/>
            <w:vAlign w:val="center"/>
          </w:tcPr>
          <w:p w14:paraId="781C4773">
            <w:pPr>
              <w:spacing w:after="0" w:line="240" w:lineRule="auto"/>
            </w:pPr>
            <w:r>
              <w:rPr>
                <w:sz w:val="17"/>
              </w:rPr>
              <w:t>已有俱乐部、链接官、校友或合作机构引荐路径</w:t>
            </w:r>
          </w:p>
        </w:tc>
      </w:tr>
    </w:tbl>
    <w:p w14:paraId="2176D125">
      <w:pPr>
        <w:pStyle w:val="3"/>
        <w:pageBreakBefore/>
      </w:pPr>
      <w:r>
        <w:t>7. 行动Agent输出格式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16D51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4" w:type="dxa"/>
            <w:shd w:val="clear" w:color="auto" w:fill="E8F5F2"/>
          </w:tcPr>
          <w:p w14:paraId="58F40877">
            <w:r>
              <w:rPr>
                <w:b/>
                <w:color w:val="0F766E"/>
              </w:rPr>
              <w:t>校准提示：</w:t>
            </w:r>
            <w:r>
              <w:t>每条建议必须同时说明“为什么值得行动、通过谁触达、提供什么价值、下一步是什么”，不能只输出泛化的‘建议联系’。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F048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163A5F"/>
          </w:tcPr>
          <w:p w14:paraId="2C25DC4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4997" w:type="dxa"/>
            <w:shd w:val="clear" w:color="auto" w:fill="163A5F"/>
          </w:tcPr>
          <w:p w14:paraId="35CEA4B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14:paraId="4A73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2FCB0CAD">
            <w:pPr>
              <w:spacing w:after="0" w:line="240" w:lineRule="auto"/>
            </w:pPr>
            <w:r>
              <w:rPr>
                <w:sz w:val="17"/>
              </w:rPr>
              <w:t>对象</w:t>
            </w:r>
          </w:p>
        </w:tc>
        <w:tc>
          <w:tcPr>
            <w:tcW w:w="4997" w:type="dxa"/>
            <w:vAlign w:val="center"/>
          </w:tcPr>
          <w:p w14:paraId="526A4ECC">
            <w:pPr>
              <w:spacing w:after="0" w:line="240" w:lineRule="auto"/>
            </w:pPr>
            <w:r>
              <w:rPr>
                <w:sz w:val="17"/>
              </w:rPr>
              <w:t>某临床前创新药企业</w:t>
            </w:r>
          </w:p>
        </w:tc>
      </w:tr>
      <w:tr w14:paraId="0CAA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192A0F38">
            <w:pPr>
              <w:spacing w:after="0" w:line="240" w:lineRule="auto"/>
            </w:pPr>
            <w:r>
              <w:rPr>
                <w:sz w:val="17"/>
              </w:rPr>
              <w:t>信号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63874AD0">
            <w:pPr>
              <w:spacing w:after="0" w:line="240" w:lineRule="auto"/>
            </w:pPr>
            <w:r>
              <w:rPr>
                <w:sz w:val="17"/>
              </w:rPr>
              <w:t>完成新一轮融资并招聘CMC和药理岗位</w:t>
            </w:r>
          </w:p>
        </w:tc>
      </w:tr>
      <w:tr w14:paraId="0530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53001F43">
            <w:pPr>
              <w:spacing w:after="0" w:line="240" w:lineRule="auto"/>
            </w:pPr>
            <w:r>
              <w:rPr>
                <w:sz w:val="17"/>
              </w:rPr>
              <w:t>机会判断</w:t>
            </w:r>
          </w:p>
        </w:tc>
        <w:tc>
          <w:tcPr>
            <w:tcW w:w="4997" w:type="dxa"/>
            <w:vAlign w:val="center"/>
          </w:tcPr>
          <w:p w14:paraId="0F7DB4A0">
            <w:pPr>
              <w:spacing w:after="0" w:line="240" w:lineRule="auto"/>
            </w:pPr>
            <w:r>
              <w:rPr>
                <w:sz w:val="17"/>
              </w:rPr>
              <w:t>可能存在研发扩张、CRO和中试规划</w:t>
            </w:r>
          </w:p>
        </w:tc>
      </w:tr>
      <w:tr w14:paraId="02A0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27454F69">
            <w:pPr>
              <w:spacing w:after="0" w:line="240" w:lineRule="auto"/>
            </w:pPr>
            <w:r>
              <w:rPr>
                <w:sz w:val="17"/>
              </w:rPr>
              <w:t>匹配资源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04061D66">
            <w:pPr>
              <w:spacing w:after="0" w:line="240" w:lineRule="auto"/>
            </w:pPr>
            <w:r>
              <w:rPr>
                <w:sz w:val="17"/>
              </w:rPr>
              <w:t>Q-BAY实验空间；某CRO；钱塘产业化节点</w:t>
            </w:r>
          </w:p>
        </w:tc>
      </w:tr>
      <w:tr w14:paraId="1B65E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20846693">
            <w:pPr>
              <w:spacing w:after="0" w:line="240" w:lineRule="auto"/>
            </w:pPr>
            <w:r>
              <w:rPr>
                <w:sz w:val="17"/>
              </w:rPr>
              <w:t>触达路径</w:t>
            </w:r>
          </w:p>
        </w:tc>
        <w:tc>
          <w:tcPr>
            <w:tcW w:w="4997" w:type="dxa"/>
            <w:vAlign w:val="center"/>
          </w:tcPr>
          <w:p w14:paraId="62881FFA">
            <w:pPr>
              <w:spacing w:after="0" w:line="240" w:lineRule="auto"/>
            </w:pPr>
            <w:r>
              <w:rPr>
                <w:sz w:val="17"/>
              </w:rPr>
              <w:t>赫利克斯嘉宾引荐/投资机构共同联系人</w:t>
            </w:r>
          </w:p>
        </w:tc>
      </w:tr>
      <w:tr w14:paraId="7C0E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515EA624">
            <w:pPr>
              <w:spacing w:after="0" w:line="240" w:lineRule="auto"/>
            </w:pPr>
            <w:r>
              <w:rPr>
                <w:sz w:val="17"/>
              </w:rPr>
              <w:t>首轮价值主张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061170A9">
            <w:pPr>
              <w:spacing w:after="0" w:line="240" w:lineRule="auto"/>
            </w:pPr>
            <w:r>
              <w:rPr>
                <w:sz w:val="17"/>
              </w:rPr>
              <w:t>提供研发空间与产业化路径诊断，不直接推销租赁</w:t>
            </w:r>
          </w:p>
        </w:tc>
      </w:tr>
      <w:tr w14:paraId="6799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42661914">
            <w:pPr>
              <w:spacing w:after="0" w:line="240" w:lineRule="auto"/>
            </w:pPr>
            <w:r>
              <w:rPr>
                <w:sz w:val="17"/>
              </w:rPr>
              <w:t>下一步</w:t>
            </w:r>
          </w:p>
        </w:tc>
        <w:tc>
          <w:tcPr>
            <w:tcW w:w="4997" w:type="dxa"/>
            <w:vAlign w:val="center"/>
          </w:tcPr>
          <w:p w14:paraId="61DDFEB1">
            <w:pPr>
              <w:spacing w:after="0" w:line="240" w:lineRule="auto"/>
            </w:pPr>
            <w:r>
              <w:rPr>
                <w:sz w:val="17"/>
              </w:rPr>
              <w:t>15分钟需求访谈；确认时间、面积、服务和融资需求</w:t>
            </w:r>
          </w:p>
        </w:tc>
      </w:tr>
      <w:tr w14:paraId="4D23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F8FAFC"/>
            <w:vAlign w:val="center"/>
          </w:tcPr>
          <w:p w14:paraId="260114E7">
            <w:pPr>
              <w:spacing w:after="0" w:line="240" w:lineRule="auto"/>
            </w:pPr>
            <w:r>
              <w:rPr>
                <w:sz w:val="17"/>
              </w:rPr>
              <w:t>权限</w:t>
            </w:r>
          </w:p>
        </w:tc>
        <w:tc>
          <w:tcPr>
            <w:tcW w:w="4997" w:type="dxa"/>
            <w:shd w:val="clear" w:color="auto" w:fill="F8FAFC"/>
            <w:vAlign w:val="center"/>
          </w:tcPr>
          <w:p w14:paraId="6BCACE74">
            <w:pPr>
              <w:spacing w:after="0" w:line="240" w:lineRule="auto"/>
            </w:pPr>
            <w:r>
              <w:rPr>
                <w:sz w:val="17"/>
              </w:rPr>
              <w:t>内部；未获授权不得转发融资细节</w:t>
            </w:r>
          </w:p>
        </w:tc>
      </w:tr>
    </w:tbl>
    <w:p w14:paraId="3F3245DC"/>
    <w:sectPr>
      <w:footerReference r:id="rId5" w:type="default"/>
      <w:pgSz w:w="12240" w:h="15840"/>
      <w:pgMar w:top="1037" w:right="1123" w:bottom="1008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F321C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5F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3A5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6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1140</Words>
  <Characters>1224</Characters>
  <Lines>0</Lines>
  <Paragraphs>0</Paragraphs>
  <TotalTime>2</TotalTime>
  <ScaleCrop>false</ScaleCrop>
  <LinksUpToDate>false</LinksUpToDate>
  <CharactersWithSpaces>1229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诗意栖居</cp:lastModifiedBy>
  <dcterms:modified xsi:type="dcterms:W3CDTF">2026-06-23T02:42:58Z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eyJoZGlkIjoiMzQyZWVjNTI3Njg1N2EzNzI0ZWExYzIyZTdlNWQwODMiLCJ1c2VySWQiOiIxOTg2ODM5MDAifQ==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26982744CE9D48C1971F8C1333CDB9B1_12</vt:lpwstr>
  </property>
</Properties>
</file>