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63A5F"/>
          <w:sz w:val="52"/>
        </w:rPr>
        <w:t>行业雷达与资源匹配Agent需求说明书</w:t>
      </w:r>
    </w:p>
    <w:p>
      <w:pPr>
        <w:jc w:val="center"/>
      </w:pPr>
      <w:r>
        <w:rPr>
          <w:color w:val="5B6573"/>
          <w:sz w:val="24"/>
        </w:rPr>
        <w:t>从公开信息采集到结构化情报、机会识别和人工行动的工作流定义</w:t>
      </w:r>
    </w:p>
    <w:p>
      <w:pPr>
        <w:jc w:val="center"/>
      </w:pPr>
      <w:r>
        <w:rPr>
          <w:color w:val="5B6573"/>
          <w:sz w:val="20"/>
        </w:rPr>
        <w:t>初版 V1.0｜2026年6月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pPr>
              <w:jc w:val="center"/>
            </w:pPr>
            <w:r>
              <w:rPr>
                <w:color w:val="163A5F"/>
                <w:sz w:val="21"/>
              </w:rPr>
              <w:t>定位：全国覆盖、长三角优先；以公开情报为底座，以项目发现、资源匹配、招商落地、投融资与成果转化为主要应用。</w:t>
            </w:r>
          </w:p>
        </w:tc>
      </w:tr>
    </w:tbl>
    <w:p>
      <w:r>
        <w:br w:type="page"/>
      </w:r>
    </w:p>
    <w:p>
      <w:pPr>
        <w:pStyle w:val="Heading1"/>
      </w:pPr>
      <w:r>
        <w:t>文件说明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63A5F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4968"/>
            <w:shd w:fill="163A5F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968"/>
            <w:vAlign w:val="center"/>
          </w:tcPr>
          <w:p>
            <w:r>
              <w:t>目的</w:t>
            </w:r>
          </w:p>
        </w:tc>
        <w:tc>
          <w:tcPr>
            <w:tcW w:type="dxa" w:w="4968"/>
            <w:vAlign w:val="center"/>
          </w:tcPr>
          <w:p>
            <w:r>
              <w:t>规定首版Agent的角色、输入输出、处理规则、提示结构、异常处理、人工确认边界和验收指标。</w:t>
            </w:r>
          </w:p>
        </w:tc>
      </w:tr>
      <w:tr>
        <w:tc>
          <w:tcPr>
            <w:tcW w:type="dxa" w:w="4968"/>
            <w:vAlign w:val="center"/>
          </w:tcPr>
          <w:p>
            <w:r>
              <w:t>适用对象</w:t>
            </w:r>
          </w:p>
        </w:tc>
        <w:tc>
          <w:tcPr>
            <w:tcW w:type="dxa" w:w="4968"/>
            <w:vAlign w:val="center"/>
          </w:tcPr>
          <w:p>
            <w:r>
              <w:t>业务负责人、n8n/Dify实施人员、数据运营人员、Codex开发人员。</w:t>
            </w:r>
          </w:p>
        </w:tc>
      </w:tr>
      <w:tr>
        <w:tc>
          <w:tcPr>
            <w:tcW w:type="dxa" w:w="4968"/>
            <w:vAlign w:val="center"/>
          </w:tcPr>
          <w:p>
            <w:r>
              <w:t>首版边界</w:t>
            </w:r>
          </w:p>
        </w:tc>
        <w:tc>
          <w:tcPr>
            <w:tcW w:type="dxa" w:w="4968"/>
            <w:vAlign w:val="center"/>
          </w:tcPr>
          <w:p>
            <w:r>
              <w:t>首版不自动对外发送、不绕过登录或验证码、不执行投资决策；重点实现发现、整理、分析、提醒和匹配建议。</w:t>
            </w:r>
          </w:p>
        </w:tc>
      </w:tr>
    </w:tbl>
    <w:p/>
    <w:p>
      <w:pPr>
        <w:pStyle w:val="Heading1"/>
      </w:pPr>
      <w:r>
        <w:t>1. 业务目标</w:t>
      </w:r>
    </w:p>
    <w:p>
      <w:pPr>
        <w:pStyle w:val="ListBullet"/>
      </w:pPr>
      <w:r>
        <w:t>每日掌握重要行业事件，而不是简单聚合新闻。</w:t>
      </w:r>
    </w:p>
    <w:p>
      <w:pPr>
        <w:pStyle w:val="ListBullet"/>
      </w:pPr>
      <w:r>
        <w:t>持续更新企业、人物、项目和关系画像。</w:t>
      </w:r>
    </w:p>
    <w:p>
      <w:pPr>
        <w:pStyle w:val="ListBullet"/>
      </w:pPr>
      <w:r>
        <w:t>发现融资、空间、研发服务、临床、产业化、招商与BD机会。</w:t>
      </w:r>
    </w:p>
    <w:p>
      <w:pPr>
        <w:pStyle w:val="ListBullet"/>
      </w:pPr>
      <w:r>
        <w:t>将情报转化为可执行的人工跟进清单。</w:t>
      </w:r>
    </w:p>
    <w:p>
      <w:pPr>
        <w:pStyle w:val="ListBullet"/>
      </w:pPr>
      <w:r>
        <w:t>逐步形成个人和平台独有的行业关系数据。</w:t>
      </w:r>
    </w:p>
    <w:p>
      <w:pPr>
        <w:pStyle w:val="Heading1"/>
      </w:pPr>
      <w:r>
        <w:t>2. Agent总体编排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63A5F"/>
          </w:tcPr>
          <w:p>
            <w:r>
              <w:rPr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484"/>
            <w:shd w:fill="163A5F"/>
          </w:tcPr>
          <w:p>
            <w:r>
              <w:rPr>
                <w:b/>
                <w:color w:val="FFFFFF"/>
                <w:sz w:val="19"/>
              </w:rPr>
              <w:t>Agent</w:t>
            </w:r>
          </w:p>
        </w:tc>
        <w:tc>
          <w:tcPr>
            <w:tcW w:type="dxa" w:w="2484"/>
            <w:shd w:fill="163A5F"/>
          </w:tcPr>
          <w:p>
            <w:r>
              <w:rPr>
                <w:b/>
                <w:color w:val="FFFFFF"/>
                <w:sz w:val="19"/>
              </w:rPr>
              <w:t>核心职责</w:t>
            </w:r>
          </w:p>
        </w:tc>
        <w:tc>
          <w:tcPr>
            <w:tcW w:type="dxa" w:w="2484"/>
            <w:shd w:fill="163A5F"/>
          </w:tcPr>
          <w:p>
            <w:r>
              <w:rPr>
                <w:b/>
                <w:color w:val="FFFFFF"/>
                <w:sz w:val="19"/>
              </w:rPr>
              <w:t>主要输出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采集Agent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读取订阅、官方页面、搜索结果、文件和表单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原始内容、元数据、内容指纹</w:t>
            </w:r>
          </w:p>
        </w:tc>
      </w:tr>
      <w:tr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清洗与实体识别Agent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正文清洗，识别企业、人物、项目、金额、日期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结构化候选实体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标准化与去重Agent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标准名映射、同义词归一、事件合并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待审核主数据</w:t>
            </w:r>
          </w:p>
        </w:tc>
      </w:tr>
      <w:tr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分类与可信度Agent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标签、来源等级、重要度、置信度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分类结果与审核队列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情报分析Agent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事实摘要、影响、需求推测、推荐动作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事件分析卡片</w:t>
            </w:r>
          </w:p>
        </w:tc>
      </w:tr>
      <w:tr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画像更新Agent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将新事件关联到主体和项目时间线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企业/项目/人物画像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A7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资源匹配Agent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需求与资源候选匹配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撮合建议与理由</w:t>
            </w:r>
          </w:p>
        </w:tc>
      </w:tr>
      <w:tr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A8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简报与行动Agent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日报、周报、跟进提醒和内容选题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可读简报、任务清单</w:t>
            </w:r>
          </w:p>
        </w:tc>
      </w:tr>
    </w:tbl>
    <w:p>
      <w:pPr>
        <w:pStyle w:val="Heading1"/>
      </w:pPr>
      <w:r>
        <w:t>3. 核心工作流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63A5F"/>
          </w:tcPr>
          <w:p>
            <w:r>
              <w:rPr>
                <w:b/>
                <w:color w:val="FFFFFF"/>
                <w:sz w:val="19"/>
              </w:rPr>
              <w:t>工作流</w:t>
            </w:r>
          </w:p>
        </w:tc>
        <w:tc>
          <w:tcPr>
            <w:tcW w:type="dxa" w:w="2484"/>
            <w:shd w:fill="163A5F"/>
          </w:tcPr>
          <w:p>
            <w:r>
              <w:rPr>
                <w:b/>
                <w:color w:val="FFFFFF"/>
                <w:sz w:val="19"/>
              </w:rPr>
              <w:t>触发</w:t>
            </w:r>
          </w:p>
        </w:tc>
        <w:tc>
          <w:tcPr>
            <w:tcW w:type="dxa" w:w="2484"/>
            <w:shd w:fill="163A5F"/>
          </w:tcPr>
          <w:p>
            <w:r>
              <w:rPr>
                <w:b/>
                <w:color w:val="FFFFFF"/>
                <w:sz w:val="19"/>
              </w:rPr>
              <w:t>处理步骤</w:t>
            </w:r>
          </w:p>
        </w:tc>
        <w:tc>
          <w:tcPr>
            <w:tcW w:type="dxa" w:w="2484"/>
            <w:shd w:fill="163A5F"/>
          </w:tcPr>
          <w:p>
            <w:r>
              <w:rPr>
                <w:b/>
                <w:color w:val="FFFFFF"/>
                <w:sz w:val="19"/>
              </w:rPr>
              <w:t>结果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每日情报雷达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定时，每日2-4次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采集→清洗→去重→实体→分类→重要度→审核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事件库和重点提醒</w:t>
            </w:r>
          </w:p>
        </w:tc>
      </w:tr>
      <w:tr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重点主体监控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主体画像发生新事件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关联主体→比较历史→识别变化→更新画像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时间线、风险和机会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表单/BP接收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提交或上传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权限识别→信息抽取→项目画像→需求分析→人工审核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项目档案和跟进任务</w:t>
            </w:r>
          </w:p>
        </w:tc>
      </w:tr>
      <w:tr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需求资源匹配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新需求/资源或每周批处理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硬条件过滤→相似度→关系距离→风险检查</w:t>
            </w:r>
          </w:p>
        </w:tc>
        <w:tc>
          <w:tcPr>
            <w:tcW w:type="dxa" w:w="2484"/>
            <w:vAlign w:val="center"/>
            <w:shd w:fill="F8FAFC"/>
          </w:tcPr>
          <w:p>
            <w:r>
              <w:rPr>
                <w:sz w:val="18"/>
              </w:rPr>
              <w:t>最多5个推荐候选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sz w:val="18"/>
              </w:rPr>
              <w:t>日报周报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定时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按重要度、区域、赛道和用户关注聚合</w:t>
            </w:r>
          </w:p>
        </w:tc>
        <w:tc>
          <w:tcPr>
            <w:tcW w:type="dxa" w:w="2484"/>
            <w:vAlign w:val="center"/>
          </w:tcPr>
          <w:p>
            <w:r>
              <w:rPr>
                <w:sz w:val="18"/>
              </w:rPr>
              <w:t>摘要、分析、行动建议</w:t>
            </w:r>
          </w:p>
        </w:tc>
      </w:tr>
    </w:tbl>
    <w:p>
      <w:pPr>
        <w:pStyle w:val="Heading1"/>
      </w:pPr>
      <w:r>
        <w:t>4. A1采集Agent要求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63A5F"/>
          </w:tcPr>
          <w:p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968"/>
            <w:shd w:fill="163A5F"/>
          </w:tcPr>
          <w:p>
            <w:r>
              <w:rPr>
                <w:b/>
                <w:color w:val="FFFFFF"/>
                <w:sz w:val="19"/>
              </w:rPr>
              <w:t>要求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RSS/API、公开网页、官方公告、邮件转发、文件、表单、人工链接</w:t>
            </w:r>
          </w:p>
        </w:tc>
      </w:tr>
      <w:tr>
        <w:tc>
          <w:tcPr>
            <w:tcW w:type="dxa" w:w="4968"/>
            <w:vAlign w:val="center"/>
            <w:shd w:fill="F8FAFC"/>
          </w:tcPr>
          <w:p>
            <w:r>
              <w:rPr>
                <w:sz w:val="18"/>
              </w:rPr>
              <w:t>必取元数据</w:t>
            </w:r>
          </w:p>
        </w:tc>
        <w:tc>
          <w:tcPr>
            <w:tcW w:type="dxa" w:w="4968"/>
            <w:vAlign w:val="center"/>
            <w:shd w:fill="F8FAFC"/>
          </w:tcPr>
          <w:p>
            <w:r>
              <w:rPr>
                <w:sz w:val="18"/>
              </w:rPr>
              <w:t>URL、标题、发布者、发布时间、抓取时间、正文、附件、来源类型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访问规则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优先API/RSS/开放下载；遵守使用条款、robots、频率限制和个人信息规则</w:t>
            </w:r>
          </w:p>
        </w:tc>
      </w:tr>
      <w:tr>
        <w:tc>
          <w:tcPr>
            <w:tcW w:type="dxa" w:w="4968"/>
            <w:vAlign w:val="center"/>
            <w:shd w:fill="F8FAFC"/>
          </w:tcPr>
          <w:p>
            <w:r>
              <w:rPr>
                <w:sz w:val="18"/>
              </w:rPr>
              <w:t>增量规则</w:t>
            </w:r>
          </w:p>
        </w:tc>
        <w:tc>
          <w:tcPr>
            <w:tcW w:type="dxa" w:w="4968"/>
            <w:vAlign w:val="center"/>
            <w:shd w:fill="F8FAFC"/>
          </w:tcPr>
          <w:p>
            <w:r>
              <w:rPr>
                <w:sz w:val="18"/>
              </w:rPr>
              <w:t>按URL、更新时间、内容指纹识别新增；不重复全量抓取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失败处理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记录状态码和原因；重试不超过3次；需要登录/验证码转人工</w:t>
            </w:r>
          </w:p>
        </w:tc>
      </w:tr>
      <w:tr>
        <w:tc>
          <w:tcPr>
            <w:tcW w:type="dxa" w:w="4968"/>
            <w:vAlign w:val="center"/>
            <w:shd w:fill="F8FAFC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4968"/>
            <w:vAlign w:val="center"/>
            <w:shd w:fill="F8FAFC"/>
          </w:tcPr>
          <w:p>
            <w:r>
              <w:rPr>
                <w:sz w:val="18"/>
              </w:rPr>
              <w:t>raw_item_id、content、metadata、content_hash、capture_status</w:t>
            </w:r>
          </w:p>
        </w:tc>
      </w:tr>
    </w:tbl>
    <w:p>
      <w:pPr>
        <w:pStyle w:val="Heading1"/>
      </w:pPr>
      <w:r>
        <w:t>5. A2-A4抽取、标准化和核验</w:t>
      </w:r>
    </w:p>
    <w:p>
      <w:r>
        <w:rPr>
          <w:b/>
        </w:rPr>
        <w:t>结构化输出示例：</w:t>
      </w:r>
    </w:p>
    <w:p>
      <w:pPr/>
      <w:r>
        <w:rPr>
          <w:rFonts w:ascii="Consolas" w:hAnsi="Consolas" w:eastAsia="Consolas"/>
          <w:sz w:val="17"/>
        </w:rPr>
        <w:t>{</w:t>
        <w:br/>
        <w:t xml:space="preserve">  "title": "标准事件标题",</w:t>
        <w:br/>
        <w:t xml:space="preserve">  "event_date": "YYYY-MM-DD或null",</w:t>
        <w:br/>
        <w:t xml:space="preserve">  "published_at": "ISO时间",</w:t>
        <w:br/>
        <w:t xml:space="preserve">  "event_type": "E01-E12",</w:t>
        <w:br/>
        <w:t xml:space="preserve">  "entities": [{"name":"原文名称","standard_name":"标准名","type":"ORG/PER/PRJ"}],</w:t>
        <w:br/>
        <w:t xml:space="preserve">  "facts": ["仅陈述来源明确支持的事实"],</w:t>
        <w:br/>
        <w:t xml:space="preserve">  "amount": {"value": null, "currency": null},</w:t>
        <w:br/>
        <w:t xml:space="preserve">  "industry_tags": [],</w:t>
        <w:br/>
        <w:t xml:space="preserve">  "source_grade": "A-E",</w:t>
        <w:br/>
        <w:t xml:space="preserve">  "confidence": 0.0,</w:t>
        <w:br/>
        <w:t xml:space="preserve">  "needs_inferred": [{"category":"N01-N10","reason":"依据","confidence":0.0}],</w:t>
        <w:br/>
        <w:t xml:space="preserve">  "manual_review_reason": []</w:t>
        <w:br/>
        <w:t>}</w:t>
      </w:r>
    </w:p>
    <w:p>
      <w:pPr>
        <w:pStyle w:val="ListBullet"/>
      </w:pPr>
      <w:r>
        <w:t>事实与推测分开：facts只写来源支持内容，needs_inferred必须给出依据和置信度。</w:t>
      </w:r>
    </w:p>
    <w:p>
      <w:pPr>
        <w:pStyle w:val="ListBullet"/>
      </w:pPr>
      <w:r>
        <w:t>日期解析失败时不得用抓取日期代替事件日期。</w:t>
      </w:r>
    </w:p>
    <w:p>
      <w:pPr>
        <w:pStyle w:val="ListBullet"/>
      </w:pPr>
      <w:r>
        <w:t>金额、临床阶段、注册结果、并购和负面事件必须触发人工复核。</w:t>
      </w:r>
    </w:p>
    <w:p>
      <w:pPr>
        <w:pStyle w:val="ListBullet"/>
      </w:pPr>
      <w:r>
        <w:t>同一事件多来源冲突时保留差异，状态设为“有争议”。</w:t>
      </w:r>
    </w:p>
    <w:p>
      <w:pPr>
        <w:pStyle w:val="Heading1"/>
      </w:pPr>
      <w:r>
        <w:t>6. A5情报分析卡片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63A5F"/>
          </w:tcPr>
          <w:p>
            <w:r>
              <w:rPr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4968"/>
            <w:shd w:fill="163A5F"/>
          </w:tcPr>
          <w:p>
            <w:r>
              <w:rPr>
                <w:b/>
                <w:color w:val="FFFFFF"/>
                <w:sz w:val="19"/>
              </w:rPr>
              <w:t>内容要求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发生了什么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不超过120字，主体、动作、时间、关键数字</w:t>
            </w:r>
          </w:p>
        </w:tc>
      </w:tr>
      <w:tr>
        <w:tc>
          <w:tcPr>
            <w:tcW w:type="dxa" w:w="4968"/>
            <w:vAlign w:val="center"/>
            <w:shd w:fill="F8FAFC"/>
          </w:tcPr>
          <w:p>
            <w:r>
              <w:rPr>
                <w:sz w:val="18"/>
              </w:rPr>
              <w:t>为什么重要</w:t>
            </w:r>
          </w:p>
        </w:tc>
        <w:tc>
          <w:tcPr>
            <w:tcW w:type="dxa" w:w="4968"/>
            <w:vAlign w:val="center"/>
            <w:shd w:fill="F8FAFC"/>
          </w:tcPr>
          <w:p>
            <w:r>
              <w:rPr>
                <w:sz w:val="18"/>
              </w:rPr>
              <w:t>对赛道、主体发展阶段或产业链的影响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机会信号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融资、空间、CRO/CDMO、临床、落地、BD、人才等</w:t>
            </w:r>
          </w:p>
        </w:tc>
      </w:tr>
      <w:tr>
        <w:tc>
          <w:tcPr>
            <w:tcW w:type="dxa" w:w="4968"/>
            <w:vAlign w:val="center"/>
            <w:shd w:fill="F8FAFC"/>
          </w:tcPr>
          <w:p>
            <w:r>
              <w:rPr>
                <w:sz w:val="18"/>
              </w:rPr>
              <w:t>风险与不确定性</w:t>
            </w:r>
          </w:p>
        </w:tc>
        <w:tc>
          <w:tcPr>
            <w:tcW w:type="dxa" w:w="4968"/>
            <w:vAlign w:val="center"/>
            <w:shd w:fill="F8FAFC"/>
          </w:tcPr>
          <w:p>
            <w:r>
              <w:rPr>
                <w:sz w:val="18"/>
              </w:rPr>
              <w:t>未确认信息、历史失败、口径冲突、合规风险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建议动作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联系对象、切入口、时间优先级、需要准备的材料</w:t>
            </w:r>
          </w:p>
        </w:tc>
      </w:tr>
      <w:tr>
        <w:tc>
          <w:tcPr>
            <w:tcW w:type="dxa" w:w="4968"/>
            <w:vAlign w:val="center"/>
            <w:shd w:fill="F8FAFC"/>
          </w:tcPr>
          <w:p>
            <w:r>
              <w:rPr>
                <w:sz w:val="18"/>
              </w:rPr>
              <w:t>证据</w:t>
            </w:r>
          </w:p>
        </w:tc>
        <w:tc>
          <w:tcPr>
            <w:tcW w:type="dxa" w:w="4968"/>
            <w:vAlign w:val="center"/>
            <w:shd w:fill="F8FAFC"/>
          </w:tcPr>
          <w:p>
            <w:r>
              <w:rPr>
                <w:sz w:val="18"/>
              </w:rPr>
              <w:t>主来源及交叉核验来源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置信度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事实置信度和机会推断置信度分开</w:t>
            </w:r>
          </w:p>
        </w:tc>
      </w:tr>
    </w:tbl>
    <w:p>
      <w:pPr>
        <w:pStyle w:val="Heading1"/>
      </w:pPr>
      <w:r>
        <w:t>7. A7资源匹配逻辑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3A5F"/>
          </w:tcPr>
          <w:p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312"/>
            <w:shd w:fill="163A5F"/>
          </w:tcPr>
          <w:p>
            <w:r>
              <w:rPr>
                <w:b/>
                <w:color w:val="FFFFFF"/>
                <w:sz w:val="19"/>
              </w:rPr>
              <w:t>建议权重</w:t>
            </w:r>
          </w:p>
        </w:tc>
        <w:tc>
          <w:tcPr>
            <w:tcW w:type="dxa" w:w="3312"/>
            <w:shd w:fill="163A5F"/>
          </w:tcPr>
          <w:p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需求类别一致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资金、空间、临床、研发、产业化等硬匹配</w:t>
            </w:r>
          </w:p>
        </w:tc>
      </w:tr>
      <w:tr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项目阶段适配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服务能力与研发/融资阶段匹配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技术/赛道适配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领域、适应症、技术平台</w:t>
            </w:r>
          </w:p>
        </w:tc>
      </w:tr>
      <w:tr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地域和落地条件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服务区域、注册、研发、生产要求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预算与时间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有数据时作为硬约束</w:t>
            </w:r>
          </w:p>
        </w:tc>
      </w:tr>
      <w:tr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历史案例与能力证据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公开案例、资质、已有合作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关系距离与可触达性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是否有可信引荐路径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5F2"/>
          </w:tcPr>
          <w:p>
            <w:r>
              <w:rPr>
                <w:b/>
                <w:color w:val="0F766E"/>
              </w:rPr>
              <w:t>实施提示：</w:t>
            </w:r>
            <w:r>
              <w:t>匹配结果只生成候选，不自动声称双方愿意合作。涉及私域需求时，输出前必须检查可见级别和授权状态。</w:t>
            </w:r>
          </w:p>
        </w:tc>
      </w:tr>
    </w:tbl>
    <w:p>
      <w:pPr>
        <w:pStyle w:val="Heading1"/>
      </w:pPr>
      <w:r>
        <w:t>8. 人工确认边界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3A5F"/>
          </w:tcPr>
          <w:p>
            <w:r>
              <w:rPr>
                <w:b/>
                <w:color w:val="FFFFFF"/>
                <w:sz w:val="19"/>
              </w:rPr>
              <w:t>事项</w:t>
            </w:r>
          </w:p>
        </w:tc>
        <w:tc>
          <w:tcPr>
            <w:tcW w:type="dxa" w:w="3312"/>
            <w:shd w:fill="163A5F"/>
          </w:tcPr>
          <w:p>
            <w:r>
              <w:rPr>
                <w:b/>
                <w:color w:val="FFFFFF"/>
                <w:sz w:val="19"/>
              </w:rPr>
              <w:t>是否允许自动执行</w:t>
            </w:r>
          </w:p>
        </w:tc>
        <w:tc>
          <w:tcPr>
            <w:tcW w:type="dxa" w:w="3312"/>
            <w:shd w:fill="163A5F"/>
          </w:tcPr>
          <w:p>
            <w:r>
              <w:rPr>
                <w:b/>
                <w:color w:val="FFFFFF"/>
                <w:sz w:val="19"/>
              </w:rPr>
              <w:t>要求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公开信息采集和结构化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允许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遵守来源规则并保留出处</w:t>
            </w:r>
          </w:p>
        </w:tc>
      </w:tr>
      <w:tr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生成内部摘要与建议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允许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标明事实/推测和置信度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写入已核验主数据库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条件允许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高风险字段需审核</w:t>
            </w:r>
          </w:p>
        </w:tc>
      </w:tr>
      <w:tr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对外邮件、微信、私信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不允许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必须人工确认收件人和内容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对外发布报告/负面判断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不允许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人工编辑、核验和批准</w:t>
            </w:r>
          </w:p>
        </w:tc>
      </w:tr>
      <w:tr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代表用户承诺价格、政策、投资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不允许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仅提供准备材料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绕过验证码、账号限制、付费墙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不允许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转人工或采购合法数据</w:t>
            </w:r>
          </w:p>
        </w:tc>
      </w:tr>
    </w:tbl>
    <w:p>
      <w:pPr>
        <w:pStyle w:val="Heading1"/>
      </w:pPr>
      <w:r>
        <w:t>9. 日报与周报模板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63A5F"/>
          </w:tcPr>
          <w:p>
            <w:r>
              <w:rPr>
                <w:b/>
                <w:color w:val="FFFFFF"/>
                <w:sz w:val="19"/>
              </w:rPr>
              <w:t>输出</w:t>
            </w:r>
          </w:p>
        </w:tc>
        <w:tc>
          <w:tcPr>
            <w:tcW w:type="dxa" w:w="4968"/>
            <w:shd w:fill="163A5F"/>
          </w:tcPr>
          <w:p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每日行业概览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新增事件数、重点融资、临床注册、BD、政策、企业扩张</w:t>
            </w:r>
          </w:p>
        </w:tc>
      </w:tr>
      <w:tr>
        <w:tc>
          <w:tcPr>
            <w:tcW w:type="dxa" w:w="4968"/>
            <w:vAlign w:val="center"/>
            <w:shd w:fill="F8FAFC"/>
          </w:tcPr>
          <w:p>
            <w:r>
              <w:rPr>
                <w:sz w:val="18"/>
              </w:rPr>
              <w:t>今日重点事件</w:t>
            </w:r>
          </w:p>
        </w:tc>
        <w:tc>
          <w:tcPr>
            <w:tcW w:type="dxa" w:w="4968"/>
            <w:vAlign w:val="center"/>
            <w:shd w:fill="F8FAFC"/>
          </w:tcPr>
          <w:p>
            <w:r>
              <w:rPr>
                <w:sz w:val="18"/>
              </w:rPr>
              <w:t>5-10条，事实、影响、机会、建议动作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重点主体变化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企业/项目/人物画像的关键更新</w:t>
            </w:r>
          </w:p>
        </w:tc>
      </w:tr>
      <w:tr>
        <w:tc>
          <w:tcPr>
            <w:tcW w:type="dxa" w:w="4968"/>
            <w:vAlign w:val="center"/>
            <w:shd w:fill="F8FAFC"/>
          </w:tcPr>
          <w:p>
            <w:r>
              <w:rPr>
                <w:sz w:val="18"/>
              </w:rPr>
              <w:t>今日建议行动</w:t>
            </w:r>
          </w:p>
        </w:tc>
        <w:tc>
          <w:tcPr>
            <w:tcW w:type="dxa" w:w="4968"/>
            <w:vAlign w:val="center"/>
            <w:shd w:fill="F8FAFC"/>
          </w:tcPr>
          <w:p>
            <w:r>
              <w:rPr>
                <w:sz w:val="18"/>
              </w:rPr>
              <w:t>不超过10条，明确对象、原因、截止时间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每周机会清单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项目-资金、项目-园区、项目-服务、成果-产业方候选</w:t>
            </w:r>
          </w:p>
        </w:tc>
      </w:tr>
      <w:tr>
        <w:tc>
          <w:tcPr>
            <w:tcW w:type="dxa" w:w="4968"/>
            <w:vAlign w:val="center"/>
            <w:shd w:fill="F8FAFC"/>
          </w:tcPr>
          <w:p>
            <w:r>
              <w:rPr>
                <w:sz w:val="18"/>
              </w:rPr>
              <w:t>每周趋势判断</w:t>
            </w:r>
          </w:p>
        </w:tc>
        <w:tc>
          <w:tcPr>
            <w:tcW w:type="dxa" w:w="4968"/>
            <w:vAlign w:val="center"/>
            <w:shd w:fill="F8FAFC"/>
          </w:tcPr>
          <w:p>
            <w:r>
              <w:rPr>
                <w:sz w:val="18"/>
              </w:rPr>
              <w:t>赛道热度、机构活跃度、区域动作、异常信号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8"/>
              </w:rPr>
              <w:t>内容选题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8"/>
              </w:rPr>
              <w:t>可转化为公众号、访谈、活动或报告的主题</w:t>
            </w:r>
          </w:p>
        </w:tc>
      </w:tr>
    </w:tbl>
    <w:p>
      <w:pPr>
        <w:pStyle w:val="Heading1"/>
      </w:pPr>
      <w:r>
        <w:t>10. 验收指标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3A5F"/>
          </w:tcPr>
          <w:p>
            <w:r>
              <w:rPr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312"/>
            <w:shd w:fill="163A5F"/>
          </w:tcPr>
          <w:p>
            <w:r>
              <w:rPr>
                <w:b/>
                <w:color w:val="FFFFFF"/>
                <w:sz w:val="19"/>
              </w:rPr>
              <w:t>MVP目标</w:t>
            </w:r>
          </w:p>
        </w:tc>
        <w:tc>
          <w:tcPr>
            <w:tcW w:type="dxa" w:w="3312"/>
            <w:shd w:fill="163A5F"/>
          </w:tcPr>
          <w:p>
            <w:r>
              <w:rPr>
                <w:b/>
                <w:color w:val="FFFFFF"/>
                <w:sz w:val="19"/>
              </w:rPr>
              <w:t>测量方式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来源接入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≥50个有效来源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连续7天有稳定数据</w:t>
            </w:r>
          </w:p>
        </w:tc>
      </w:tr>
      <w:tr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日新增有效事件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20-50条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去重且与生物医药相关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实体识别准确率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≥90%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抽样100条人工核验</w:t>
            </w:r>
          </w:p>
        </w:tc>
      </w:tr>
      <w:tr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主标签准确率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≥85%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抽样复核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重复事件识别率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≥90%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人工构造与真实样本</w:t>
            </w:r>
          </w:p>
        </w:tc>
      </w:tr>
      <w:tr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日期正确率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≥95%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区分事件日和发布日期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重大事实引用完整率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每条可追溯至来源</w:t>
            </w:r>
          </w:p>
        </w:tc>
      </w:tr>
      <w:tr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每周可行动线索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≥10条</w:t>
            </w:r>
          </w:p>
        </w:tc>
        <w:tc>
          <w:tcPr>
            <w:tcW w:type="dxa" w:w="3312"/>
            <w:vAlign w:val="center"/>
            <w:shd w:fill="F8FAFC"/>
          </w:tcPr>
          <w:p>
            <w:r>
              <w:rPr>
                <w:sz w:val="18"/>
              </w:rPr>
              <w:t>人工确认具备联系价值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sz w:val="18"/>
              </w:rPr>
              <w:t>系统误发外联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3312"/>
            <w:vAlign w:val="center"/>
          </w:tcPr>
          <w:p>
            <w:r>
              <w:rPr>
                <w:sz w:val="18"/>
              </w:rPr>
              <w:t>无自动对外发送</w:t>
            </w:r>
          </w:p>
        </w:tc>
      </w:tr>
    </w:tbl>
    <w:p>
      <w:pPr>
        <w:pStyle w:val="Heading1"/>
      </w:pPr>
      <w:r>
        <w:t>11. 给Codex的实现约束</w:t>
      </w:r>
    </w:p>
    <w:p>
      <w:pPr>
        <w:pStyle w:val="ListBullet"/>
      </w:pPr>
      <w:r>
        <w:t>采用增量开发，不进行无关重构和全仓扫描。</w:t>
      </w:r>
    </w:p>
    <w:p>
      <w:pPr>
        <w:pStyle w:val="ListBullet"/>
      </w:pPr>
      <w:r>
        <w:t>先完成数据模型、手工链接分析和审核闭环，再接入自动采集。</w:t>
      </w:r>
    </w:p>
    <w:p>
      <w:pPr>
        <w:pStyle w:val="ListBullet"/>
      </w:pPr>
      <w:r>
        <w:t>每个工作流必须有输入样例、输出Schema、错误日志和可重跑机制。</w:t>
      </w:r>
    </w:p>
    <w:p>
      <w:pPr>
        <w:pStyle w:val="ListBullet"/>
      </w:pPr>
      <w:r>
        <w:t>密钥使用环境变量，日志不得输出密钥、私域联系方式和BP全文。</w:t>
      </w:r>
    </w:p>
    <w:p>
      <w:pPr>
        <w:pStyle w:val="ListBullet"/>
      </w:pPr>
      <w:r>
        <w:t>所有模型输出使用JSON Schema校验；校验失败进入人工队列。</w:t>
      </w:r>
    </w:p>
    <w:p>
      <w:pPr>
        <w:pStyle w:val="ListBullet"/>
      </w:pPr>
      <w:r>
        <w:t>开发以可验收结果为单位，避免一次性生成完整大平台。</w:t>
      </w:r>
    </w:p>
    <w:sectPr w:rsidR="00FC693F" w:rsidRPr="0006063C" w:rsidSect="00034616">
      <w:footerReference w:type="default" r:id="rId9"/>
      <w:pgSz w:w="12240" w:h="15840"/>
      <w:pgMar w:top="1080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7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6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