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3A5F"/>
          <w:sz w:val="50"/>
        </w:rPr>
        <w:t>专属Agent校准规则与实施清单</w:t>
      </w:r>
    </w:p>
    <w:p>
      <w:pPr>
        <w:jc w:val="center"/>
      </w:pPr>
      <w:r>
        <w:rPr>
          <w:color w:val="5B6573"/>
          <w:sz w:val="23"/>
        </w:rPr>
        <w:t>把历史资源转化为监控清单、匹配规则、权限规则和可执行任务</w:t>
      </w:r>
    </w:p>
    <w:p>
      <w:pPr>
        <w:jc w:val="center"/>
      </w:pPr>
      <w:r>
        <w:rPr>
          <w:sz w:val="19"/>
        </w:rPr>
        <w:t>第二轮校准 V1.1｜基于历史对话沉淀｜2026年6月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jc w:val="center"/>
            </w:pPr>
            <w:r>
              <w:t>状态标识：已确认＝用户多次明确表述；业务归纳＝根据历史工作内容整理；待核验＝来自早期文案或缺少正式材料佐证。</w:t>
            </w:r>
          </w:p>
        </w:tc>
      </w:tr>
    </w:tbl>
    <w:p>
      <w:r>
        <w:br w:type="page"/>
      </w:r>
    </w:p>
    <w:p>
      <w:pPr>
        <w:pStyle w:val="Heading1"/>
      </w:pPr>
      <w:r>
        <w:t>1. 监控主题优先级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重点信号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生物医药融资与扩张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融资、招聘、研发中心、搬迁、扩产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直接关联空间、服务、落地和资本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上海张江与杭州钱塘政策/招商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政策、公示、项目签约、产业基金、载体更新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构建沪杭双城转化能力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创新药/器械临床与注册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IND、临床阶段、器械注册、获批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判断项目阶段和服务需求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高校医院成果转化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论文、专利、概念验证、公司设立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形成早期项目来源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CRO/CDMO与生命科学工具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订单、产能、平台、服务能力、并购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搭建技术服务网络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投资机构与上市公司产业动作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投资偏好、CVC、BD、并购和路演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资本与产业协同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行业人物与活动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高管变动、论坛、路演、访谈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关系建立和内容获客</w:t>
            </w:r>
          </w:p>
        </w:tc>
      </w:tr>
    </w:tbl>
    <w:p>
      <w:pPr>
        <w:pStyle w:val="Heading1"/>
      </w:pPr>
      <w:r>
        <w:t>2. 首批重点主体池结构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主体池</w:t>
            </w:r>
          </w:p>
        </w:tc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重点创新药/生物技术企业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融资、临床、张江及长三角项目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医疗器械/IVD企业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注册、融资、园区和活动项目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生命科学工具/组学平台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用户专业背景、Q-BAY平台生态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CRO/CDMO/检测机构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既有合作、行业头部、区域服务商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投资机构/CVC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上市公司俱乐部、历史高校投资网络、行业活跃机构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园区/孵化器/政府平台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上海、钱塘、长三角重点节点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高校/医院/科研院所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历史链接机构和重点成果转化单位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关键人物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创始人、科学家、投资人、BD、招商、服务负责人</w:t>
            </w:r>
          </w:p>
        </w:tc>
      </w:tr>
    </w:tbl>
    <w:p>
      <w:pPr>
        <w:pStyle w:val="Heading1"/>
      </w:pPr>
      <w:r>
        <w:t>3. 匹配规则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推荐动作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禁止自动事项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M01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企业融资+研发招聘+上海/长三角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生成实验室及入孵需求假设，进入人工访谈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不得声称企业正在搬迁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M02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临床前/IND+CMC/毒理/药代信号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推荐CRO/CDMO和分析检测类别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不得默认具体供应商已适配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M03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扩产/中试/生产+政策诉求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推荐钱塘产业化落地诊断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不得承诺政策和租金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M04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高校成果+专利/数据+转化团队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推荐概念验证、公司设立、融资和空间路径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不得判断技术必然可产业化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M05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投资机构近期连续布局某赛道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更新投资偏好并匹配授权融资项目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不得未经项目方同意推送BP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M06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上市公司出现BD/并购方向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匹配相关项目和技术资源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不得传播未公开并购意向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M07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创始人/投资人有公开重要观点或进展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推荐访谈、活动和内容合作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不得自动邀请或发布</w:t>
            </w:r>
          </w:p>
        </w:tc>
      </w:tr>
    </w:tbl>
    <w:p>
      <w:pPr>
        <w:pStyle w:val="Heading1"/>
      </w:pPr>
      <w:r>
        <w:t>4. 线索来源加权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基础权重</w:t>
            </w:r>
          </w:p>
        </w:tc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监管/交易所/政府官方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事实优先级最高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企业/高校/医院/基金/园区官方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0.90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主体一手信息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权威行业媒体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用于发现，重大事实回溯官方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招聘/会议/招投标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0.60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可作为需求信号，不等同明确需求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Q-BAY/俱乐部/历史合作记录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0.85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真实关系价值高，但注意权限和时效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微信/口头/社群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仅作线索，未经核验不得外传</w:t>
            </w:r>
          </w:p>
        </w:tc>
      </w:tr>
    </w:tbl>
    <w:p>
      <w:pPr>
        <w:pStyle w:val="Heading1"/>
      </w:pPr>
      <w:r>
        <w:t>5. 第二轮数据导入SOP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3331"/>
            <w:shd w:fill="163A5F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将历史机构名、人物名、项目名去重并生成内部ID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主体/人物/项目种子表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为每条记录标记来源：Q-BAY、赫利克斯、上市公司俱乐部、WLA历史资源、公开来源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来源与关系路径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拆分可提供资源和当前需求；没有证据的需求标为“推测”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需求表、资源表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为联系方式、BP、关系强度和内部评价设置权限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权限字段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按P0/P1/P2建立监控池和负责人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监控清单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每周校验10-20个重点主体，补充官网和最近事件</w:t>
            </w:r>
          </w:p>
        </w:tc>
        <w:tc>
          <w:tcPr>
            <w:tcW w:type="dxa" w:w="3331"/>
            <w:vAlign w:val="center"/>
            <w:shd w:fill="F8FAFC"/>
          </w:tcPr>
          <w:p>
            <w:r>
              <w:rPr>
                <w:sz w:val="17"/>
              </w:rPr>
              <w:t>可用画像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用真实项目验证M01-M07规则并记录结果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匹配效果与V1.2修订</w:t>
            </w:r>
          </w:p>
        </w:tc>
      </w:tr>
    </w:tbl>
    <w:p>
      <w:pPr>
        <w:pStyle w:val="Heading1"/>
      </w:pPr>
      <w:r>
        <w:t>6. 实施任务清单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负责人建议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2498"/>
            <w:shd w:fill="163A5F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导入本次Excel种子库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数据运营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所有记录有ID、来源、状态和权限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核验Q-BAY正式参数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Q-BAY负责人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地址、面积、平台、设备、租赁及准入资料更新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整理赫利克斯成员与嘉宾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俱乐部运营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至少50人，含角色、机构、资源与授权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整理上市公司俱乐部可用资源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俱乐部负责人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明确可共享名单、引荐规则和合作边界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建立钱塘政策和园区动态监控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招商协同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形成官方来源清单和每周更新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建立投资机构偏好表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项目负责人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首批50家，记录阶段、赛道、地域、案例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7"/>
              </w:rPr>
              <w:t>建立CRO/CDMO能力表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技术/项目负责人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首批50家，能力、资质、地域和案例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选20个真实项目试跑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项目负责人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完成画像、评分、匹配和人工行动</w:t>
            </w:r>
          </w:p>
        </w:tc>
        <w:tc>
          <w:tcPr>
            <w:tcW w:type="dxa" w:w="2498"/>
            <w:vAlign w:val="center"/>
            <w:shd w:fill="F8FAFC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1"/>
      </w:pPr>
      <w:r>
        <w:t>7. 首批日报栏目校准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63A5F"/>
          </w:tcPr>
          <w:p>
            <w:r>
              <w:rPr>
                <w:b/>
                <w:color w:val="FFFFFF"/>
                <w:sz w:val="18"/>
              </w:rPr>
              <w:t>栏目</w:t>
            </w:r>
          </w:p>
        </w:tc>
        <w:tc>
          <w:tcPr>
            <w:tcW w:type="dxa" w:w="4997"/>
            <w:shd w:fill="163A5F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  <w:t>沪杭双城动态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上海张江和杭州钱塘的政策、项目、空间和产业动作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重点融资与扩张</w:t>
            </w:r>
          </w:p>
        </w:tc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优先判断空间、服务、落地和资本机会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  <w:t>临床注册里程碑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判断研发阶段、CRO/CDMO及产业方机会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高校医院成果</w:t>
            </w:r>
          </w:p>
        </w:tc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筛选可转化、可访谈、可路演项目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  <w:t>资本与上市公司动作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投资偏好、CVC、BD、并购和产业合作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今日资源匹配</w:t>
            </w:r>
          </w:p>
        </w:tc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最多5条，附匹配理由、引荐路径和权限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7"/>
              </w:rPr>
              <w:t>今日建议行动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最多8条，明确责任人和下一步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内容与活动选题</w:t>
            </w:r>
          </w:p>
        </w:tc>
        <w:tc>
          <w:tcPr>
            <w:tcW w:type="dxa" w:w="4997"/>
            <w:vAlign w:val="center"/>
            <w:shd w:fill="F8FAFC"/>
          </w:tcPr>
          <w:p>
            <w:r>
              <w:rPr>
                <w:sz w:val="17"/>
              </w:rPr>
              <w:t>访谈、公众号、视频号、闭门会和路演建议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