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20FE6758" w14:textId="77777777" w:rsidR="00BE2026" w:rsidRPr="0023461A" w:rsidRDefault="00BE2026"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3461A">
        <w:rPr>
          <w:rFonts w:ascii="Times New Roman" w:eastAsia="Times New Roman" w:hAnsi="Times New Roman" w:cs="Times New Roman"/>
          <w:b/>
          <w:bCs/>
          <w:kern w:val="36"/>
          <w14:ligatures w14:val="none"/>
        </w:rPr>
        <w:t>ADVERTISEMENT FOR THE POSITION OF SENIOR LECTURER – PHARMACY</w:t>
      </w:r>
    </w:p>
    <w:p w14:paraId="5ACF5AB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King Ceasor University (KCU) is a chartered private university located in Bunga, Kampala, committed to academic excellence, innovation, research, and quality assurance in higher education.</w:t>
      </w:r>
    </w:p>
    <w:p w14:paraId="5FD8A7E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 xml:space="preserve">The University invites applications from suitably qualified and experienced individuals for the position of </w:t>
      </w:r>
      <w:r w:rsidRPr="0023461A">
        <w:rPr>
          <w:rFonts w:ascii="Times New Roman" w:eastAsia="Times New Roman" w:hAnsi="Times New Roman" w:cs="Times New Roman"/>
          <w:b/>
          <w:bCs/>
          <w:kern w:val="0"/>
          <w14:ligatures w14:val="none"/>
        </w:rPr>
        <w:t>Senior Lecturer – Pharmacy</w:t>
      </w:r>
      <w:r w:rsidRPr="0023461A">
        <w:rPr>
          <w:rFonts w:ascii="Times New Roman" w:eastAsia="Times New Roman" w:hAnsi="Times New Roman" w:cs="Times New Roman"/>
          <w:kern w:val="0"/>
          <w14:ligatures w14:val="none"/>
        </w:rPr>
        <w:t>. The successful candidate must demonstrate excellence in pharmaceutical education, clinical pharmacy practice, research, postgraduate supervision, scholarly publication, curriculum development, innovation and community engagement while contributing to the University's mission of producing competent, ethical and globally competitive pharmacists.</w:t>
      </w:r>
    </w:p>
    <w:p w14:paraId="15AD2474" w14:textId="77777777" w:rsidR="00BE2026" w:rsidRPr="0023461A" w:rsidRDefault="00BE2026"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3461A">
        <w:rPr>
          <w:rFonts w:ascii="Times New Roman" w:eastAsia="Times New Roman" w:hAnsi="Times New Roman" w:cs="Times New Roman"/>
          <w:b/>
          <w:bCs/>
          <w:kern w:val="36"/>
          <w14:ligatures w14:val="none"/>
        </w:rPr>
        <w:t>1. POSITION</w:t>
      </w:r>
    </w:p>
    <w:p w14:paraId="2E5C351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Senior Lecturer – Pharmacy</w:t>
      </w:r>
    </w:p>
    <w:p w14:paraId="6C536AB5" w14:textId="6B19BDC6"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2</w:t>
      </w:r>
      <w:r w:rsidR="00BE2026" w:rsidRPr="0023461A">
        <w:rPr>
          <w:rFonts w:ascii="Times New Roman" w:eastAsia="Times New Roman" w:hAnsi="Times New Roman" w:cs="Times New Roman"/>
          <w:b/>
          <w:bCs/>
          <w:kern w:val="36"/>
          <w14:ligatures w14:val="none"/>
        </w:rPr>
        <w:t>. DUTY STATION</w:t>
      </w:r>
    </w:p>
    <w:p w14:paraId="5731922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King Ceasor University, Bunga, Kampala, Uganda.</w:t>
      </w:r>
    </w:p>
    <w:p w14:paraId="23C080F7" w14:textId="6965D045"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3</w:t>
      </w:r>
      <w:r w:rsidR="00BE2026" w:rsidRPr="0023461A">
        <w:rPr>
          <w:rFonts w:ascii="Times New Roman" w:eastAsia="Times New Roman" w:hAnsi="Times New Roman" w:cs="Times New Roman"/>
          <w:b/>
          <w:bCs/>
          <w:kern w:val="36"/>
          <w14:ligatures w14:val="none"/>
        </w:rPr>
        <w:t>. ROLE</w:t>
      </w:r>
    </w:p>
    <w:p w14:paraId="2B20504F"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The Senior Lecturer – Pharmacy shall report to the Head of Department and shall:</w:t>
      </w:r>
    </w:p>
    <w:p w14:paraId="11B5B29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Provide academic leadership in pharmacy education, research, clinical pharmacy practice and community engagement within the Department of Pharmacy.</w:t>
      </w:r>
    </w:p>
    <w:p w14:paraId="029197DD"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Deliver high-quality undergraduate and postgraduate pharmacy education through lectures, tutorials, practical laboratory sessions, simulation and clinical instruction.</w:t>
      </w:r>
    </w:p>
    <w:p w14:paraId="267BAB9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Promote excellence in pharmaceutical research, scholarly publication, innovation and postgraduate supervision.</w:t>
      </w:r>
    </w:p>
    <w:p w14:paraId="7171889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d. Mentor junior academic staff, pharmacy students and early-career researchers.</w:t>
      </w:r>
    </w:p>
    <w:p w14:paraId="2B91A1BC"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Contribute to curriculum development, quality assurance and academic governance within the Department, School and University.</w:t>
      </w:r>
    </w:p>
    <w:p w14:paraId="0CF6687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f. Perform such other duties as may be assigned by the Head of Department, Dean or University Management.</w:t>
      </w:r>
    </w:p>
    <w:p w14:paraId="6412556D" w14:textId="01EB570C"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4</w:t>
      </w:r>
      <w:r w:rsidR="00BE2026" w:rsidRPr="0023461A">
        <w:rPr>
          <w:rFonts w:ascii="Times New Roman" w:eastAsia="Times New Roman" w:hAnsi="Times New Roman" w:cs="Times New Roman"/>
          <w:b/>
          <w:bCs/>
          <w:kern w:val="36"/>
          <w14:ligatures w14:val="none"/>
        </w:rPr>
        <w:t>. PURPOSE OF THE JOB</w:t>
      </w:r>
    </w:p>
    <w:p w14:paraId="2E64194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To contribute to excellence in pharmacy education through high-quality teaching, laboratory and clinical training, research, innovation and community engagement; promote evidence-based pharmaceutical practice; strengthen postgraduate education and supervision; enhance research productivity and scholarly publication; and support the University's strategic objectives in teaching, research and service.</w:t>
      </w:r>
    </w:p>
    <w:p w14:paraId="512A9B19" w14:textId="421C3797"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5</w:t>
      </w:r>
      <w:r w:rsidR="00BE2026" w:rsidRPr="0023461A">
        <w:rPr>
          <w:rFonts w:ascii="Times New Roman" w:eastAsia="Times New Roman" w:hAnsi="Times New Roman" w:cs="Times New Roman"/>
          <w:b/>
          <w:bCs/>
          <w:kern w:val="36"/>
          <w14:ligatures w14:val="none"/>
        </w:rPr>
        <w:t>. DUTIES AND RESPONSIBILITIES</w:t>
      </w:r>
    </w:p>
    <w:p w14:paraId="6A8CF3E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Prepare and deliver high-quality lectures, tutorials, laboratory practicals, simulation-based learning and clinical pharmacy teaching for undergraduate and postgraduate students.</w:t>
      </w:r>
    </w:p>
    <w:p w14:paraId="3C7605B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Design, review and continuously improve pharmacy curricula to ensure alignment with competency-based pharmacy education, accreditation standards and emerging pharmaceutical and healthcare needs.</w:t>
      </w:r>
    </w:p>
    <w:p w14:paraId="16C60FA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Coordinate and supervise students during experiential learning, clinical placements, industrial attachments and professional practice in affiliated hospitals, pharmaceutical industries and regulatory institutions.</w:t>
      </w:r>
    </w:p>
    <w:p w14:paraId="475443A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Develop, administer and moderate examinations, laboratory assessments, Objective Structured Practical Examinations (OSPEs) and other student evaluation methods.</w:t>
      </w:r>
    </w:p>
    <w:p w14:paraId="06B4356A"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Supervise undergraduate research projects, Master's dissertations and postgraduate pharmacy research.</w:t>
      </w:r>
    </w:p>
    <w:p w14:paraId="4A71CB8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f. Conduct independent and collaborative research in pharmaceutical sciences, clinical pharmacy, pharmacology, pharmaceutics, pharmaceutical chemistry, pharmacognosy, pharmacoeconomics or related disciplines.</w:t>
      </w:r>
    </w:p>
    <w:p w14:paraId="0A998702"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g. Publish research findings in reputable peer-reviewed journals and contribute to scholarly books, book chapters and conference proceedings.</w:t>
      </w:r>
    </w:p>
    <w:p w14:paraId="3EDD1B7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h. Lead or participate in funded research projects, consultancies and interdisciplinary research initiatives.</w:t>
      </w:r>
    </w:p>
    <w:p w14:paraId="43735F8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i. Mentor junior academic staff and postgraduate students in teaching, research, publication, grant writing and professional development.</w:t>
      </w:r>
    </w:p>
    <w:p w14:paraId="3C237EFA"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j. Participate in curriculum development, programme review, accreditation and quality assurance activities.</w:t>
      </w:r>
    </w:p>
    <w:p w14:paraId="38CB0F9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k. Integrate simulation, digital technologies and innovative teaching methodologies into pharmacy education.</w:t>
      </w:r>
    </w:p>
    <w:p w14:paraId="6122EF3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l. Identify research funding opportunities and prepare competitive grant proposals.</w:t>
      </w:r>
    </w:p>
    <w:p w14:paraId="14403AD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m. Build collaborative partnerships with hospitals, the National Drug Authority, National Medical Stores, pharmaceutical industries, research institutions, government agencies and international partners.</w:t>
      </w:r>
    </w:p>
    <w:p w14:paraId="7F1E41D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n. Participate in departmental, School and University committees and contribute to academic planning and policy implementation.</w:t>
      </w:r>
    </w:p>
    <w:p w14:paraId="46D0B8FC"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o. Provide professional pharmacy services through consultancy, continuing professional development programmes, medicines information services and clinical pharmacy support where appropriate.</w:t>
      </w:r>
    </w:p>
    <w:p w14:paraId="50557A5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p. Participate in medicine use awareness campaigns, antimicrobial stewardship programmes, pharmacovigilance activities, public health outreach and other community pharmacy initiatives.</w:t>
      </w:r>
    </w:p>
    <w:p w14:paraId="7A42E01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q. Uphold the highest standards of professionalism, ethical pharmacy practice and academic integrity.</w:t>
      </w:r>
    </w:p>
    <w:p w14:paraId="729C1B6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r. Prepare periodic academic, research and administrative reports.</w:t>
      </w:r>
    </w:p>
    <w:p w14:paraId="69D38BFD"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s. Perform any other duties assigned by the University Management.</w:t>
      </w:r>
    </w:p>
    <w:p w14:paraId="73AE5FD2" w14:textId="02646E45"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6</w:t>
      </w:r>
      <w:r w:rsidR="00BE2026" w:rsidRPr="0023461A">
        <w:rPr>
          <w:rFonts w:ascii="Times New Roman" w:eastAsia="Times New Roman" w:hAnsi="Times New Roman" w:cs="Times New Roman"/>
          <w:b/>
          <w:bCs/>
          <w:kern w:val="36"/>
          <w14:ligatures w14:val="none"/>
        </w:rPr>
        <w:t>. CANDIDATE SPECIFICATION</w:t>
      </w:r>
    </w:p>
    <w:p w14:paraId="039EDF3F"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Applicants must:</w:t>
      </w:r>
    </w:p>
    <w:p w14:paraId="00E7335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Hold an earned PhD or equivalent academic doctorate in Pharmacy, Pharmaceutical Sciences or a relevant pharmacy discipline from a recognised university.</w:t>
      </w:r>
    </w:p>
    <w:p w14:paraId="40A9D7C4"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Demonstrate excellence in university teaching, professional pharmacy practice, research and postgraduate supervision.</w:t>
      </w:r>
    </w:p>
    <w:p w14:paraId="4EC74C6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Possess a strong record of scholarly publication, curriculum development, academic leadership and community engagement.</w:t>
      </w:r>
    </w:p>
    <w:p w14:paraId="4ECAD453" w14:textId="74F2F2D7"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.1 Academic Qualifications and Experience</w:t>
      </w:r>
    </w:p>
    <w:p w14:paraId="564043E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a. An earned PhD or equivalent academic doctorate in Pharmacy, Pharmaceutical Sciences or a related discipline.</w:t>
      </w:r>
    </w:p>
    <w:p w14:paraId="7A78CC6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Bachelor of Pharmacy (BPharm), Doctor of Pharmacy (PharmD) or an equivalent recognised professional qualification.</w:t>
      </w:r>
    </w:p>
    <w:p w14:paraId="07467811"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Registration and a valid practising licence with the Pharmacy Council of Uganda or an equivalent recognised professional regulatory body.</w:t>
      </w:r>
    </w:p>
    <w:p w14:paraId="3578E657" w14:textId="13686A9B"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 xml:space="preserve">d. A minimum of </w:t>
      </w:r>
      <w:r w:rsidR="008D51C3">
        <w:rPr>
          <w:rFonts w:ascii="Times New Roman" w:eastAsia="Times New Roman" w:hAnsi="Times New Roman" w:cs="Times New Roman"/>
          <w:kern w:val="0"/>
          <w14:ligatures w14:val="none"/>
        </w:rPr>
        <w:t>three</w:t>
      </w:r>
      <w:r w:rsidRPr="0023461A">
        <w:rPr>
          <w:rFonts w:ascii="Times New Roman" w:eastAsia="Times New Roman" w:hAnsi="Times New Roman" w:cs="Times New Roman"/>
          <w:kern w:val="0"/>
          <w14:ligatures w14:val="none"/>
        </w:rPr>
        <w:t xml:space="preserve"> (</w:t>
      </w:r>
      <w:r w:rsidR="008D51C3">
        <w:rPr>
          <w:rFonts w:ascii="Times New Roman" w:eastAsia="Times New Roman" w:hAnsi="Times New Roman" w:cs="Times New Roman"/>
          <w:kern w:val="0"/>
          <w14:ligatures w14:val="none"/>
        </w:rPr>
        <w:t>3</w:t>
      </w:r>
      <w:r w:rsidRPr="0023461A">
        <w:rPr>
          <w:rFonts w:ascii="Times New Roman" w:eastAsia="Times New Roman" w:hAnsi="Times New Roman" w:cs="Times New Roman"/>
          <w:kern w:val="0"/>
          <w14:ligatures w14:val="none"/>
        </w:rPr>
        <w:t>) years of progressive university teaching, research and professional pharmacy practice at the rank of Lecturer or equivalent.</w:t>
      </w:r>
    </w:p>
    <w:p w14:paraId="7A2959FD"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Demonstrated excellence in undergraduate and postgraduate pharmacy education.</w:t>
      </w:r>
    </w:p>
    <w:p w14:paraId="1F6E3C91" w14:textId="3212E39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 xml:space="preserve">f. A demonstrated record of at least </w:t>
      </w:r>
      <w:r w:rsidR="008D51C3">
        <w:rPr>
          <w:rFonts w:ascii="Times New Roman" w:eastAsia="Times New Roman" w:hAnsi="Times New Roman" w:cs="Times New Roman"/>
          <w:kern w:val="0"/>
          <w14:ligatures w14:val="none"/>
        </w:rPr>
        <w:t>three</w:t>
      </w:r>
      <w:r w:rsidRPr="0023461A">
        <w:rPr>
          <w:rFonts w:ascii="Times New Roman" w:eastAsia="Times New Roman" w:hAnsi="Times New Roman" w:cs="Times New Roman"/>
          <w:kern w:val="0"/>
          <w14:ligatures w14:val="none"/>
        </w:rPr>
        <w:t xml:space="preserve"> (</w:t>
      </w:r>
      <w:r w:rsidR="008D51C3">
        <w:rPr>
          <w:rFonts w:ascii="Times New Roman" w:eastAsia="Times New Roman" w:hAnsi="Times New Roman" w:cs="Times New Roman"/>
          <w:kern w:val="0"/>
          <w14:ligatures w14:val="none"/>
        </w:rPr>
        <w:t>3</w:t>
      </w:r>
      <w:r w:rsidRPr="0023461A">
        <w:rPr>
          <w:rFonts w:ascii="Times New Roman" w:eastAsia="Times New Roman" w:hAnsi="Times New Roman" w:cs="Times New Roman"/>
          <w:kern w:val="0"/>
          <w14:ligatures w14:val="none"/>
        </w:rPr>
        <w:t>) peer-reviewed publications in reputable journals indexed in Scopus, Web of Science or equivalent databases.</w:t>
      </w:r>
    </w:p>
    <w:p w14:paraId="631651AD" w14:textId="53F79D4C"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 xml:space="preserve">g. Successfully supervised at least </w:t>
      </w:r>
      <w:r w:rsidR="008D51C3">
        <w:rPr>
          <w:rFonts w:ascii="Times New Roman" w:eastAsia="Times New Roman" w:hAnsi="Times New Roman" w:cs="Times New Roman"/>
          <w:kern w:val="0"/>
          <w14:ligatures w14:val="none"/>
        </w:rPr>
        <w:t>two</w:t>
      </w:r>
      <w:r w:rsidRPr="0023461A">
        <w:rPr>
          <w:rFonts w:ascii="Times New Roman" w:eastAsia="Times New Roman" w:hAnsi="Times New Roman" w:cs="Times New Roman"/>
          <w:kern w:val="0"/>
          <w14:ligatures w14:val="none"/>
        </w:rPr>
        <w:t xml:space="preserve"> (</w:t>
      </w:r>
      <w:r w:rsidR="008D51C3">
        <w:rPr>
          <w:rFonts w:ascii="Times New Roman" w:eastAsia="Times New Roman" w:hAnsi="Times New Roman" w:cs="Times New Roman"/>
          <w:kern w:val="0"/>
          <w14:ligatures w14:val="none"/>
        </w:rPr>
        <w:t>2</w:t>
      </w:r>
      <w:r w:rsidRPr="0023461A">
        <w:rPr>
          <w:rFonts w:ascii="Times New Roman" w:eastAsia="Times New Roman" w:hAnsi="Times New Roman" w:cs="Times New Roman"/>
          <w:kern w:val="0"/>
          <w14:ligatures w14:val="none"/>
        </w:rPr>
        <w:t>) postgraduate students to completion, including Master's students.</w:t>
      </w:r>
    </w:p>
    <w:p w14:paraId="6A48533B" w14:textId="6EE99AE3"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.2 Teaching, Learning and Curriculum Development</w:t>
      </w:r>
    </w:p>
    <w:p w14:paraId="73ADE22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Demonstrated excellence in undergraduate and postgraduate pharmacy education.</w:t>
      </w:r>
    </w:p>
    <w:p w14:paraId="70CA360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Experience in developing and reviewing competency-based pharmacy curricula.</w:t>
      </w:r>
    </w:p>
    <w:p w14:paraId="1887A38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Demonstrated use of innovative teaching approaches, simulation-based learning and digital technologies.</w:t>
      </w:r>
    </w:p>
    <w:p w14:paraId="269A3F8D"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Experience in student assessment, laboratory instruction and clinical competency evaluation.</w:t>
      </w:r>
    </w:p>
    <w:p w14:paraId="0684CA3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Participation in programme accreditation and quality assurance processes.</w:t>
      </w:r>
    </w:p>
    <w:p w14:paraId="2F4E1FC2" w14:textId="6802EF09"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.3 Professional Pharmacy Practice</w:t>
      </w:r>
    </w:p>
    <w:p w14:paraId="63251A6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Evidence of active professional pharmacy practice in a hospital, community, industrial, regulatory or academic setting.</w:t>
      </w:r>
    </w:p>
    <w:p w14:paraId="21730C2F"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Demonstrated experience supervising students during clinical placements, industrial training or experiential learning.</w:t>
      </w:r>
    </w:p>
    <w:p w14:paraId="55A718FA"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Commitment to rational medicine use, patient-centred pharmaceutical care and ethical pharmacy practice.</w:t>
      </w:r>
    </w:p>
    <w:p w14:paraId="0676079D"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Experience in pharmacovigilance, medication safety, antimicrobial stewardship or medicines information services.</w:t>
      </w:r>
    </w:p>
    <w:p w14:paraId="790ECEE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e. Demonstrated contribution to strengthening pharmaceutical services and healthcare delivery.</w:t>
      </w:r>
    </w:p>
    <w:p w14:paraId="48235419" w14:textId="33FEAA24"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.4 Research and Scholarly Activity</w:t>
      </w:r>
    </w:p>
    <w:p w14:paraId="0E5E0C24"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Demonstrated record of quality research in pharmaceutical sciences or clinical pharmacy.</w:t>
      </w:r>
    </w:p>
    <w:p w14:paraId="4904786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Sustained publication in reputable peer-reviewed journals.</w:t>
      </w:r>
    </w:p>
    <w:p w14:paraId="4B8AD6A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Experience in multidisciplinary and collaborative research.</w:t>
      </w:r>
    </w:p>
    <w:p w14:paraId="2859FEC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Evidence of presenting research findings at national and international scientific conferences.</w:t>
      </w:r>
    </w:p>
    <w:p w14:paraId="1F906CB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Demonstrated ability to mentor junior staff and postgraduate students in research methodology and academic writing.</w:t>
      </w:r>
    </w:p>
    <w:p w14:paraId="02A78073" w14:textId="52886865"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.5 Postgraduate Supervision</w:t>
      </w:r>
    </w:p>
    <w:p w14:paraId="6EF778B1"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Demonstrated experience supervising Master's research.</w:t>
      </w:r>
    </w:p>
    <w:p w14:paraId="26DE11FF"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Evidence of mentoring postgraduate students in proposal development, research implementation and scientific writing.</w:t>
      </w:r>
    </w:p>
    <w:p w14:paraId="3065193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Commitment to timely completion and quality supervision of postgraduate students.</w:t>
      </w:r>
    </w:p>
    <w:p w14:paraId="31850196" w14:textId="382D6934"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.6 Research Grants and Resource Mobilisation</w:t>
      </w:r>
    </w:p>
    <w:p w14:paraId="569AB09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Demonstrated experience preparing competitive research grant proposals.</w:t>
      </w:r>
    </w:p>
    <w:p w14:paraId="07751CD9"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Participation in externally funded research projects.</w:t>
      </w:r>
    </w:p>
    <w:p w14:paraId="32E066B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Ability to mobilise resources for pharmaceutical research, innovation and postgraduate education.</w:t>
      </w:r>
    </w:p>
    <w:p w14:paraId="65D0F83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Experience in grant management and reporting will be an added advantage.</w:t>
      </w:r>
    </w:p>
    <w:p w14:paraId="1CCFDE68" w14:textId="7C2CB118"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.7 Academic Leadership and Administration</w:t>
      </w:r>
    </w:p>
    <w:p w14:paraId="6D93EFA1"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Demonstrated ability to mentor junior academic staff.</w:t>
      </w:r>
    </w:p>
    <w:p w14:paraId="5F5CE80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Experience serving on departmental, School or University committees.</w:t>
      </w:r>
    </w:p>
    <w:p w14:paraId="0A3D333A"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Participation in academic planning, policy development and programme administration.</w:t>
      </w:r>
    </w:p>
    <w:p w14:paraId="68E2E8C6"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Demonstrated organisational, leadership and decision-making skills.</w:t>
      </w:r>
    </w:p>
    <w:p w14:paraId="6408D050" w14:textId="70412672"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.8 Partnerships and Community Engagement</w:t>
      </w:r>
    </w:p>
    <w:p w14:paraId="412C8BD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a. Experience collaborating with hospitals, pharmaceutical industries, regulatory authorities, research institutions, government agencies and development partners.</w:t>
      </w:r>
    </w:p>
    <w:p w14:paraId="64FD9DD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Participation in medicine awareness campaigns, antimicrobial stewardship programmes, pharmacovigilance, vaccination campaigns and other pharmaceutical outreach activities.</w:t>
      </w:r>
    </w:p>
    <w:p w14:paraId="709CCF57"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Evidence of consultancy or professional engagement with healthcare organisations.</w:t>
      </w:r>
    </w:p>
    <w:p w14:paraId="4ACB2A1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Demonstrated commitment to strengthening partnerships that support pharmacy education, research and pharmaceutical care.</w:t>
      </w:r>
    </w:p>
    <w:p w14:paraId="6F1A0346" w14:textId="105EB5BD"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.9 Professional Registration</w:t>
      </w:r>
    </w:p>
    <w:p w14:paraId="53FC959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Current registration and a valid practising licence with the Pharmacy Council of Uganda or an equivalent recognised professional regulatory body.</w:t>
      </w:r>
    </w:p>
    <w:p w14:paraId="1C043AD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Active membership in relevant national and international pharmaceutical professional associations.</w:t>
      </w:r>
    </w:p>
    <w:p w14:paraId="69523AA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Evidence of continuing professional development and good professional standing.</w:t>
      </w:r>
    </w:p>
    <w:p w14:paraId="12A0C567" w14:textId="5F8CEA63" w:rsidR="00BE2026" w:rsidRPr="0023461A" w:rsidRDefault="008D51C3" w:rsidP="00BE20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00BE2026" w:rsidRPr="0023461A">
        <w:rPr>
          <w:rFonts w:ascii="Times New Roman" w:eastAsia="Times New Roman" w:hAnsi="Times New Roman" w:cs="Times New Roman"/>
          <w:b/>
          <w:bCs/>
          <w:kern w:val="0"/>
          <w14:ligatures w14:val="none"/>
        </w:rPr>
        <w:t>.10 Personal Attributes</w:t>
      </w:r>
    </w:p>
    <w:p w14:paraId="3CC1C4C1"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Proven integrity, professionalism and ethical conduct.</w:t>
      </w:r>
    </w:p>
    <w:p w14:paraId="70A5ECC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Strong leadership, communication and interpersonal skills.</w:t>
      </w:r>
    </w:p>
    <w:p w14:paraId="2878EE1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Excellent analytical, organisational and problem-solving abilities.</w:t>
      </w:r>
    </w:p>
    <w:p w14:paraId="425224D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Demonstrated commitment to academic excellence, innovation, teamwork and institutional development.</w:t>
      </w:r>
    </w:p>
    <w:p w14:paraId="645C596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Ability to work effectively within multidisciplinary academic and healthcare environments.</w:t>
      </w:r>
    </w:p>
    <w:p w14:paraId="45DF4DBD" w14:textId="372F1FC4"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7</w:t>
      </w:r>
      <w:r w:rsidR="00BE2026" w:rsidRPr="0023461A">
        <w:rPr>
          <w:rFonts w:ascii="Times New Roman" w:eastAsia="Times New Roman" w:hAnsi="Times New Roman" w:cs="Times New Roman"/>
          <w:b/>
          <w:bCs/>
          <w:kern w:val="36"/>
          <w14:ligatures w14:val="none"/>
        </w:rPr>
        <w:t>. REMUNERATION</w:t>
      </w:r>
    </w:p>
    <w:p w14:paraId="22B62CC5"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An attractive remuneration package in accordance with King Ceasor University's Terms and Conditions of Service.</w:t>
      </w:r>
    </w:p>
    <w:p w14:paraId="41E044A1" w14:textId="789BB342"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8</w:t>
      </w:r>
      <w:r w:rsidR="00BE2026" w:rsidRPr="0023461A">
        <w:rPr>
          <w:rFonts w:ascii="Times New Roman" w:eastAsia="Times New Roman" w:hAnsi="Times New Roman" w:cs="Times New Roman"/>
          <w:b/>
          <w:bCs/>
          <w:kern w:val="36"/>
          <w14:ligatures w14:val="none"/>
        </w:rPr>
        <w:t>. TENURE</w:t>
      </w:r>
    </w:p>
    <w:p w14:paraId="53B59DC4"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The Senior Lecturer – Pharmacy shall hold office in accordance with the University's Terms and Conditions of Service and subject to satisfactory performance.</w:t>
      </w:r>
    </w:p>
    <w:p w14:paraId="79725AC4" w14:textId="07DFF547" w:rsidR="00BE2026" w:rsidRPr="0023461A" w:rsidRDefault="008D51C3" w:rsidP="00BE2026">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9</w:t>
      </w:r>
      <w:r w:rsidR="00BE2026" w:rsidRPr="0023461A">
        <w:rPr>
          <w:rFonts w:ascii="Times New Roman" w:eastAsia="Times New Roman" w:hAnsi="Times New Roman" w:cs="Times New Roman"/>
          <w:b/>
          <w:bCs/>
          <w:kern w:val="36"/>
          <w14:ligatures w14:val="none"/>
        </w:rPr>
        <w:t>. METHOD OF APPLICATION</w:t>
      </w:r>
    </w:p>
    <w:p w14:paraId="331106F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lastRenderedPageBreak/>
        <w:t>Interested applicants are invited to submit their application letters. A complete application shall comprise:</w:t>
      </w:r>
    </w:p>
    <w:p w14:paraId="2F46066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a. A signed letter of application.</w:t>
      </w:r>
    </w:p>
    <w:p w14:paraId="2C7180B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b. A statement outlining the applicant's vision for advancing pharmacy education, research, innovation and community engagement at King Ceasor University.</w:t>
      </w:r>
    </w:p>
    <w:p w14:paraId="1964467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c. A signed and dated Curriculum Vitae with contact details.</w:t>
      </w:r>
    </w:p>
    <w:p w14:paraId="36EF6C51"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d. Copies of academic publications.</w:t>
      </w:r>
    </w:p>
    <w:p w14:paraId="1A1B1E4B"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e. Certified copies of academic transcripts and certificates.</w:t>
      </w:r>
    </w:p>
    <w:p w14:paraId="1D65E5EF"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f. Evidence of current professional registration and practising licence.</w:t>
      </w:r>
    </w:p>
    <w:p w14:paraId="6932CEA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g. Three (3) letters of recommendation.</w:t>
      </w:r>
    </w:p>
    <w:p w14:paraId="5D2DB0EE"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h. Copies of appointment letters to relevant academic, clinical or leadership positions.</w:t>
      </w:r>
    </w:p>
    <w:p w14:paraId="3CE98E60"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i. A copy of the National Identity Card or passport.</w:t>
      </w:r>
    </w:p>
    <w:p w14:paraId="6707D2A3"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j. Referees should be advised to send confidential reference letters directly to the University before the closing date.</w:t>
      </w:r>
    </w:p>
    <w:p w14:paraId="3228A848"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kern w:val="0"/>
          <w14:ligatures w14:val="none"/>
        </w:rPr>
      </w:pPr>
      <w:r w:rsidRPr="0023461A">
        <w:rPr>
          <w:rFonts w:ascii="Times New Roman" w:eastAsia="Times New Roman" w:hAnsi="Times New Roman" w:cs="Times New Roman"/>
          <w:kern w:val="0"/>
          <w14:ligatures w14:val="none"/>
        </w:rPr>
        <w:t>k. References should address the applicant's academic qualifications, teaching effectiveness, professional competence, research achievements, leadership ability, professional conduct and personal integrity.</w:t>
      </w:r>
    </w:p>
    <w:p w14:paraId="5CCCAFAA" w14:textId="77777777" w:rsidR="00BE2026" w:rsidRPr="0023461A" w:rsidRDefault="00BE2026" w:rsidP="00BE2026">
      <w:pPr>
        <w:spacing w:before="100" w:beforeAutospacing="1" w:after="100" w:afterAutospacing="1" w:line="240" w:lineRule="auto"/>
        <w:rPr>
          <w:rFonts w:ascii="Times New Roman" w:eastAsia="Times New Roman" w:hAnsi="Times New Roman" w:cs="Times New Roman"/>
          <w:b/>
          <w:bCs/>
          <w:kern w:val="0"/>
          <w14:ligatures w14:val="none"/>
        </w:rPr>
      </w:pPr>
      <w:r w:rsidRPr="0023461A">
        <w:rPr>
          <w:rFonts w:ascii="Times New Roman" w:eastAsia="Times New Roman" w:hAnsi="Times New Roman" w:cs="Times New Roman"/>
          <w:b/>
          <w:bCs/>
          <w:kern w:val="0"/>
          <w14:ligatures w14:val="none"/>
        </w:rPr>
        <w:t>Both Hardcopy and Electronic (Email) applications shall be accepted.</w:t>
      </w:r>
    </w:p>
    <w:p w14:paraId="337C00F9" w14:textId="77777777" w:rsidR="00BE2026" w:rsidRPr="006A392C" w:rsidRDefault="00BE2026" w:rsidP="00BE2026">
      <w:pPr>
        <w:rPr>
          <w:rFonts w:ascii="Times New Roman" w:hAnsi="Times New Roman" w:cs="Times New Roman"/>
        </w:rPr>
      </w:pPr>
      <w:r w:rsidRPr="006A392C">
        <w:rPr>
          <w:rFonts w:ascii="Times New Roman" w:hAnsi="Times New Roman" w:cs="Times New Roman"/>
          <w:b/>
          <w:bCs/>
        </w:rPr>
        <w:t>(a) Hardcopy Applications</w:t>
      </w:r>
    </w:p>
    <w:p w14:paraId="373E1FBB" w14:textId="77777777" w:rsidR="00BE2026" w:rsidRPr="006A392C" w:rsidRDefault="00BE2026" w:rsidP="00BE2026">
      <w:pPr>
        <w:rPr>
          <w:rFonts w:ascii="Times New Roman" w:hAnsi="Times New Roman" w:cs="Times New Roman"/>
        </w:rPr>
      </w:pPr>
      <w:r w:rsidRPr="006A392C">
        <w:rPr>
          <w:rFonts w:ascii="Times New Roman" w:hAnsi="Times New Roman" w:cs="Times New Roman"/>
        </w:rPr>
        <w:t>Confidential letters and sealed applications marked:</w:t>
      </w:r>
    </w:p>
    <w:p w14:paraId="65542984" w14:textId="77777777" w:rsidR="00BE2026" w:rsidRDefault="00BE2026" w:rsidP="00BE2026">
      <w:pPr>
        <w:rPr>
          <w:rFonts w:ascii="Times New Roman" w:hAnsi="Times New Roman" w:cs="Times New Roman"/>
        </w:rPr>
      </w:pPr>
      <w:r w:rsidRPr="006A392C">
        <w:rPr>
          <w:rFonts w:ascii="Times New Roman" w:hAnsi="Times New Roman" w:cs="Times New Roman"/>
          <w:b/>
          <w:bCs/>
        </w:rPr>
        <w:t xml:space="preserve">“CONFIDENTIAL: </w:t>
      </w:r>
      <w:r w:rsidRPr="0023461A">
        <w:rPr>
          <w:rFonts w:ascii="Times New Roman" w:eastAsia="Times New Roman" w:hAnsi="Times New Roman" w:cs="Times New Roman"/>
          <w:b/>
          <w:bCs/>
          <w:kern w:val="36"/>
          <w14:ligatures w14:val="none"/>
        </w:rPr>
        <w:t>POSITION OF SENIOR LECTURER – PHARMACY</w:t>
      </w:r>
      <w:r>
        <w:rPr>
          <w:rFonts w:ascii="Times New Roman" w:eastAsia="Times New Roman" w:hAnsi="Times New Roman" w:cs="Times New Roman"/>
          <w:b/>
          <w:bCs/>
          <w:kern w:val="36"/>
          <w14:ligatures w14:val="none"/>
        </w:rPr>
        <w:t>”</w:t>
      </w:r>
      <w:r w:rsidRPr="006A392C">
        <w:rPr>
          <w:rFonts w:ascii="Times New Roman" w:hAnsi="Times New Roman" w:cs="Times New Roman"/>
        </w:rPr>
        <w:t xml:space="preserve"> </w:t>
      </w:r>
    </w:p>
    <w:p w14:paraId="68C98BF6" w14:textId="77777777" w:rsidR="00BE2026" w:rsidRPr="006A392C" w:rsidRDefault="00BE2026" w:rsidP="00BE2026">
      <w:pPr>
        <w:rPr>
          <w:rFonts w:ascii="Times New Roman" w:hAnsi="Times New Roman" w:cs="Times New Roman"/>
        </w:rPr>
      </w:pPr>
      <w:r w:rsidRPr="006A392C">
        <w:rPr>
          <w:rFonts w:ascii="Times New Roman" w:hAnsi="Times New Roman" w:cs="Times New Roman"/>
        </w:rPr>
        <w:t>should be addressed to:</w:t>
      </w:r>
    </w:p>
    <w:p w14:paraId="170B427F" w14:textId="16BDFCF2" w:rsidR="00BE2026" w:rsidRPr="006A392C" w:rsidRDefault="00BE2026" w:rsidP="00BE2026">
      <w:pPr>
        <w:rPr>
          <w:rFonts w:ascii="Times New Roman" w:hAnsi="Times New Roman" w:cs="Times New Roman"/>
        </w:rPr>
      </w:pPr>
      <w:r>
        <w:rPr>
          <w:rFonts w:ascii="Times New Roman" w:hAnsi="Times New Roman" w:cs="Times New Roman"/>
          <w:b/>
          <w:bCs/>
        </w:rPr>
        <w:t>HUMAN RESOURCE 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2602CBB8" w14:textId="77777777" w:rsidR="00BE2026" w:rsidRPr="006A392C" w:rsidRDefault="00BE2026" w:rsidP="00BE2026">
      <w:pPr>
        <w:rPr>
          <w:rFonts w:ascii="Times New Roman" w:hAnsi="Times New Roman" w:cs="Times New Roman"/>
        </w:rPr>
      </w:pPr>
      <w:r w:rsidRPr="006A392C">
        <w:rPr>
          <w:rFonts w:ascii="Times New Roman" w:hAnsi="Times New Roman" w:cs="Times New Roman"/>
          <w:b/>
          <w:bCs/>
        </w:rPr>
        <w:t>(b) Electronic (Email) Applications</w:t>
      </w:r>
    </w:p>
    <w:p w14:paraId="544E138E" w14:textId="0A82DFBD" w:rsidR="00BE2026" w:rsidRPr="006A392C" w:rsidRDefault="00BE2026" w:rsidP="00BE2026">
      <w:pPr>
        <w:rPr>
          <w:rFonts w:ascii="Times New Roman" w:hAnsi="Times New Roman" w:cs="Times New Roman"/>
        </w:rPr>
      </w:pPr>
      <w:r w:rsidRPr="006A392C">
        <w:rPr>
          <w:rFonts w:ascii="Times New Roman" w:hAnsi="Times New Roman" w:cs="Times New Roman"/>
        </w:rPr>
        <w:lastRenderedPageBreak/>
        <w:t xml:space="preserve">Electronic applications should have all the above documents scanned and emailed to </w:t>
      </w:r>
      <w:hyperlink r:id="rId7" w:history="1">
        <w:r w:rsidR="00CF7ED2"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Pr>
          <w:rFonts w:ascii="Times New Roman" w:hAnsi="Times New Roman" w:cs="Times New Roman"/>
          <w:b/>
          <w:bCs/>
        </w:rPr>
        <w:t>31</w:t>
      </w:r>
      <w:r w:rsidRPr="00BE2026">
        <w:rPr>
          <w:rFonts w:ascii="Times New Roman" w:hAnsi="Times New Roman" w:cs="Times New Roman"/>
          <w:b/>
          <w:bCs/>
          <w:vertAlign w:val="superscript"/>
        </w:rPr>
        <w:t>st</w:t>
      </w:r>
      <w:r>
        <w:rPr>
          <w:rFonts w:ascii="Times New Roman" w:hAnsi="Times New Roman" w:cs="Times New Roman"/>
          <w:b/>
          <w:bCs/>
        </w:rPr>
        <w:t xml:space="preserve"> July 2026</w:t>
      </w:r>
      <w:r w:rsidRPr="006A392C">
        <w:rPr>
          <w:rFonts w:ascii="Times New Roman" w:hAnsi="Times New Roman" w:cs="Times New Roman"/>
        </w:rPr>
        <w:t>.</w:t>
      </w:r>
    </w:p>
    <w:p w14:paraId="525113E3" w14:textId="77777777" w:rsidR="00BE2026" w:rsidRPr="006A392C" w:rsidRDefault="00BE2026" w:rsidP="00BE2026">
      <w:pPr>
        <w:rPr>
          <w:rFonts w:ascii="Times New Roman" w:hAnsi="Times New Roman" w:cs="Times New Roman"/>
        </w:rPr>
      </w:pPr>
      <w:r w:rsidRPr="006A392C">
        <w:rPr>
          <w:rFonts w:ascii="Times New Roman" w:hAnsi="Times New Roman" w:cs="Times New Roman"/>
          <w:b/>
          <w:bCs/>
        </w:rPr>
        <w:t>Please Note That:</w:t>
      </w:r>
    </w:p>
    <w:p w14:paraId="0B74DB7C" w14:textId="77777777" w:rsidR="00BE2026" w:rsidRPr="006A392C" w:rsidRDefault="00BE2026" w:rsidP="00BE2026">
      <w:pPr>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1D14ECBB" w14:textId="77777777" w:rsidR="00BE2026" w:rsidRPr="006A392C" w:rsidRDefault="00BE2026" w:rsidP="00BE2026">
      <w:pPr>
        <w:rPr>
          <w:rFonts w:ascii="Times New Roman" w:hAnsi="Times New Roman" w:cs="Times New Roman"/>
        </w:rPr>
      </w:pPr>
      <w:r w:rsidRPr="006A392C">
        <w:rPr>
          <w:rFonts w:ascii="Times New Roman" w:hAnsi="Times New Roman" w:cs="Times New Roman"/>
        </w:rPr>
        <w:t>b. Only shortlisted applicants shall be contacted.</w:t>
      </w:r>
    </w:p>
    <w:p w14:paraId="3FE2279E" w14:textId="6092D139" w:rsidR="00C817E3" w:rsidRDefault="00C817E3" w:rsidP="00BE2026">
      <w:pPr>
        <w:spacing w:after="0"/>
        <w:rPr>
          <w:rFonts w:ascii="Times New Roman" w:hAnsi="Times New Roman" w:cs="Times New Roman"/>
          <w:b/>
          <w:bCs/>
        </w:rPr>
      </w:pPr>
      <w:r>
        <w:rPr>
          <w:noProof/>
        </w:rPr>
        <w:drawing>
          <wp:inline distT="0" distB="0" distL="0" distR="0" wp14:anchorId="7B7152BE" wp14:editId="45803776">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18D54176" w14:textId="77777777" w:rsidR="00C817E3" w:rsidRDefault="00C817E3" w:rsidP="00BE2026">
      <w:pPr>
        <w:spacing w:after="0"/>
        <w:rPr>
          <w:rFonts w:ascii="Times New Roman" w:hAnsi="Times New Roman" w:cs="Times New Roman"/>
          <w:b/>
          <w:bCs/>
        </w:rPr>
      </w:pPr>
    </w:p>
    <w:p w14:paraId="2E43B462" w14:textId="62169EC1" w:rsidR="001462A3" w:rsidRDefault="00BE2026" w:rsidP="00BE2026">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John Acire</w:t>
      </w:r>
    </w:p>
    <w:p w14:paraId="475D3369" w14:textId="07777EB2" w:rsidR="001462A3" w:rsidRPr="001462A3" w:rsidRDefault="001462A3" w:rsidP="00BE2026">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BE2026">
        <w:rPr>
          <w:rFonts w:ascii="Times New Roman" w:hAnsi="Times New Roman" w:cs="Times New Roman"/>
          <w:b/>
          <w:bCs/>
        </w:rPr>
        <w:t>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96DC3" w14:textId="77777777" w:rsidR="00C066C3" w:rsidRDefault="00C066C3" w:rsidP="00BE2026">
      <w:pPr>
        <w:spacing w:after="0" w:line="240" w:lineRule="auto"/>
      </w:pPr>
      <w:r>
        <w:separator/>
      </w:r>
    </w:p>
  </w:endnote>
  <w:endnote w:type="continuationSeparator" w:id="0">
    <w:p w14:paraId="3429337A" w14:textId="77777777" w:rsidR="00C066C3" w:rsidRDefault="00C066C3" w:rsidP="00BE2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326525"/>
      <w:docPartObj>
        <w:docPartGallery w:val="Page Numbers (Bottom of Page)"/>
        <w:docPartUnique/>
      </w:docPartObj>
    </w:sdtPr>
    <w:sdtEndPr>
      <w:rPr>
        <w:noProof/>
      </w:rPr>
    </w:sdtEndPr>
    <w:sdtContent>
      <w:p w14:paraId="27F8C8E0" w14:textId="21501F01" w:rsidR="00BE2026" w:rsidRDefault="00BE20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351EC6" w14:textId="77777777" w:rsidR="00BE2026" w:rsidRDefault="00BE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1D0E3" w14:textId="77777777" w:rsidR="00C066C3" w:rsidRDefault="00C066C3" w:rsidP="00BE2026">
      <w:pPr>
        <w:spacing w:after="0" w:line="240" w:lineRule="auto"/>
      </w:pPr>
      <w:r>
        <w:separator/>
      </w:r>
    </w:p>
  </w:footnote>
  <w:footnote w:type="continuationSeparator" w:id="0">
    <w:p w14:paraId="2A754E75" w14:textId="77777777" w:rsidR="00C066C3" w:rsidRDefault="00C066C3" w:rsidP="00BE20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462A3"/>
    <w:rsid w:val="00420E30"/>
    <w:rsid w:val="00540D0D"/>
    <w:rsid w:val="00627658"/>
    <w:rsid w:val="006768BB"/>
    <w:rsid w:val="00811944"/>
    <w:rsid w:val="00890798"/>
    <w:rsid w:val="008C4885"/>
    <w:rsid w:val="008D51C3"/>
    <w:rsid w:val="009F4D94"/>
    <w:rsid w:val="00A67639"/>
    <w:rsid w:val="00AD72CC"/>
    <w:rsid w:val="00BB2FBC"/>
    <w:rsid w:val="00BE2026"/>
    <w:rsid w:val="00C066C3"/>
    <w:rsid w:val="00C817E3"/>
    <w:rsid w:val="00C81E68"/>
    <w:rsid w:val="00CF7540"/>
    <w:rsid w:val="00CF7ED2"/>
    <w:rsid w:val="00E40211"/>
    <w:rsid w:val="00E77F46"/>
    <w:rsid w:val="00F56B4B"/>
    <w:rsid w:val="00F757BB"/>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BE20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026"/>
    <w:rPr>
      <w:lang w:val="en-GB"/>
    </w:rPr>
  </w:style>
  <w:style w:type="paragraph" w:styleId="Footer">
    <w:name w:val="footer"/>
    <w:basedOn w:val="Normal"/>
    <w:link w:val="FooterChar"/>
    <w:uiPriority w:val="99"/>
    <w:unhideWhenUsed/>
    <w:rsid w:val="00BE20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026"/>
    <w:rPr>
      <w:lang w:val="en-GB"/>
    </w:rPr>
  </w:style>
  <w:style w:type="character" w:styleId="UnresolvedMention">
    <w:name w:val="Unresolved Mention"/>
    <w:basedOn w:val="DefaultParagraphFont"/>
    <w:uiPriority w:val="99"/>
    <w:semiHidden/>
    <w:unhideWhenUsed/>
    <w:rsid w:val="00CF7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1862</Words>
  <Characters>10619</Characters>
  <Application>Microsoft Office Word</Application>
  <DocSecurity>0</DocSecurity>
  <Lines>88</Lines>
  <Paragraphs>24</Paragraphs>
  <ScaleCrop>false</ScaleCrop>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5</cp:revision>
  <dcterms:created xsi:type="dcterms:W3CDTF">2026-07-16T18:38:00Z</dcterms:created>
  <dcterms:modified xsi:type="dcterms:W3CDTF">2026-07-19T17:53:00Z</dcterms:modified>
</cp:coreProperties>
</file>