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ex3f6of6jcs" w:id="0"/>
      <w:bookmarkEnd w:id="0"/>
      <w:r w:rsidDel="00000000" w:rsidR="00000000" w:rsidRPr="00000000">
        <w:rPr>
          <w:rtl w:val="0"/>
        </w:rPr>
        <w:t xml:space="preserve">Museo Type Assets Via Adobe Fonts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Frame Bio Website Project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&lt;link rel="stylesheet" href="https://use.typekit.net/utn2lct.css"&gt;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includes the following, last updated 2025/07/30: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Museo Sans Rounded 100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font-family: museo-sans-rounded, sans-serif;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font-weight: 100;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font-style: normal;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Museo Sans Rounded 300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font-family: museo-sans-rounded, sans-serif;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font-weight: 300;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font-style: normal;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Museo Sans Rounded 500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font-family: museo-sans-rounded, sans-serif;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font-weight: 500;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font-style: normal;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Museo Sans Rounded 700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font-family: museo-sans-rounded, sans-serif;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font-weight: 700;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font-style: normal;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Museo Slab Rounded 300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font-family: museo-slab-rounded, sans-serif;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font-weight: 300;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font-style: normal;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Museo Slab Rounded 700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font-family: museo-slab-rounded, sans-serif;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font-weight: 700;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font-style: normal;</w:t>
      </w:r>
    </w:p>
    <w:p w:rsidR="00000000" w:rsidDel="00000000" w:rsidP="00000000" w:rsidRDefault="00000000" w:rsidRPr="00000000" w14:paraId="00000028">
      <w:pPr>
        <w:spacing w:after="200" w:before="20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33659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365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color w:val="1880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color w:val="1880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color w:val="1880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color w:val="1880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color w:val="1880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color w:val="1880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