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8f4ydmex53q" w:id="0"/>
      <w:bookmarkEnd w:id="0"/>
      <w:r w:rsidDel="00000000" w:rsidR="00000000" w:rsidRPr="00000000">
        <w:rPr>
          <w:rtl w:val="0"/>
        </w:rPr>
        <w:t xml:space="preserve">West Didsbury Estate Community Group Health and Safety Policy</w:t>
      </w:r>
    </w:p>
    <w:p w:rsidR="00000000" w:rsidDel="00000000" w:rsidP="00000000" w:rsidRDefault="00000000" w:rsidRPr="00000000" w14:paraId="00000001">
      <w:pPr>
        <w:spacing w:before="60" w:line="240" w:lineRule="auto"/>
        <w:ind w:left="72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rblcihxbvopl">
            <w:r w:rsidDel="00000000" w:rsidR="00000000" w:rsidRPr="00000000">
              <w:rPr>
                <w:color w:val="1155cc"/>
                <w:u w:val="single"/>
                <w:rtl w:val="0"/>
              </w:rPr>
              <w:t xml:space="preserve">Statement of intent</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jtr2rhcil73d">
            <w:r w:rsidDel="00000000" w:rsidR="00000000" w:rsidRPr="00000000">
              <w:rPr>
                <w:color w:val="1155cc"/>
                <w:u w:val="single"/>
                <w:rtl w:val="0"/>
              </w:rPr>
              <w:t xml:space="preserve">Responsibility</w:t>
            </w:r>
          </w:hyperlink>
          <w:r w:rsidDel="00000000" w:rsidR="00000000" w:rsidRPr="00000000">
            <w:rPr>
              <w:rtl w:val="0"/>
            </w:rPr>
          </w:r>
        </w:p>
        <w:p w:rsidR="00000000" w:rsidDel="00000000" w:rsidP="00000000" w:rsidRDefault="00000000" w:rsidRPr="00000000" w14:paraId="00000004">
          <w:pPr>
            <w:spacing w:before="200" w:line="240" w:lineRule="auto"/>
            <w:ind w:left="0" w:firstLine="0"/>
            <w:contextualSpacing w:val="0"/>
            <w:rPr>
              <w:color w:val="1155cc"/>
              <w:u w:val="single"/>
            </w:rPr>
          </w:pPr>
          <w:hyperlink w:anchor="_tmhuj9uaptv5">
            <w:r w:rsidDel="00000000" w:rsidR="00000000" w:rsidRPr="00000000">
              <w:rPr>
                <w:color w:val="1155cc"/>
                <w:u w:val="single"/>
                <w:rtl w:val="0"/>
              </w:rPr>
              <w:t xml:space="preserve">General arrangements</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contextualSpacing w:val="0"/>
            <w:rPr>
              <w:color w:val="1155cc"/>
              <w:u w:val="single"/>
            </w:rPr>
          </w:pPr>
          <w:hyperlink w:anchor="_gmhf2o857k8u">
            <w:r w:rsidDel="00000000" w:rsidR="00000000" w:rsidRPr="00000000">
              <w:rPr>
                <w:color w:val="1155cc"/>
                <w:u w:val="single"/>
                <w:rtl w:val="0"/>
              </w:rPr>
              <w:t xml:space="preserve">How often this policy is reviewed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spacing w:after="240" w:before="240" w:lineRule="auto"/>
        <w:contextualSpacing w:val="0"/>
        <w:rPr/>
      </w:pPr>
      <w:bookmarkStart w:colFirst="0" w:colLast="0" w:name="_rblcihxbvopl" w:id="1"/>
      <w:bookmarkEnd w:id="1"/>
      <w:r w:rsidDel="00000000" w:rsidR="00000000" w:rsidRPr="00000000">
        <w:rPr>
          <w:rtl w:val="0"/>
        </w:rPr>
      </w:r>
    </w:p>
    <w:p w:rsidR="00000000" w:rsidDel="00000000" w:rsidP="00000000" w:rsidRDefault="00000000" w:rsidRPr="00000000" w14:paraId="00000007">
      <w:pPr>
        <w:pStyle w:val="Heading1"/>
        <w:spacing w:after="240" w:before="240" w:lineRule="auto"/>
        <w:contextualSpacing w:val="0"/>
        <w:rPr/>
      </w:pPr>
      <w:bookmarkStart w:colFirst="0" w:colLast="0" w:name="_6tqeqq28h2ui" w:id="2"/>
      <w:bookmarkEnd w:id="2"/>
      <w:r w:rsidDel="00000000" w:rsidR="00000000" w:rsidRPr="00000000">
        <w:rPr>
          <w:rtl w:val="0"/>
        </w:rPr>
        <w:t xml:space="preserve">Statement of intent</w:t>
      </w:r>
    </w:p>
    <w:p w:rsidR="00000000" w:rsidDel="00000000" w:rsidP="00000000" w:rsidRDefault="00000000" w:rsidRPr="00000000" w14:paraId="00000008">
      <w:pPr>
        <w:contextualSpacing w:val="0"/>
        <w:rPr/>
      </w:pPr>
      <w:r w:rsidDel="00000000" w:rsidR="00000000" w:rsidRPr="00000000">
        <w:rPr>
          <w:rtl w:val="0"/>
        </w:rPr>
        <w:t xml:space="preserve">The policy of the West Didsbury Estate Community Group (WDECG) is to provide and maintain safe and healthy working conditions and environment for all our volunteers and users, plus any other people who are directly affected by our activities, such as members of the public at our events.</w:t>
      </w:r>
    </w:p>
    <w:p w:rsidR="00000000" w:rsidDel="00000000" w:rsidP="00000000" w:rsidRDefault="00000000" w:rsidRPr="00000000" w14:paraId="00000009">
      <w:pPr>
        <w:pStyle w:val="Heading1"/>
        <w:spacing w:after="240" w:before="240" w:lineRule="auto"/>
        <w:contextualSpacing w:val="0"/>
        <w:rPr/>
      </w:pPr>
      <w:bookmarkStart w:colFirst="0" w:colLast="0" w:name="_jtr2rhcil73d" w:id="3"/>
      <w:bookmarkEnd w:id="3"/>
      <w:r w:rsidDel="00000000" w:rsidR="00000000" w:rsidRPr="00000000">
        <w:rPr>
          <w:rtl w:val="0"/>
        </w:rPr>
        <w:t xml:space="preserve">Responsibility</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Overall and final responsibility for health and safety at all events and activities organised by the WDECG lies with the committee. This responsibility will be delegated to a named volunteer for each event or activity. This volunteer will be responsible for ensuring that this policy is upheld.</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For all other events the responsible person will be named in advance and their name will be noted on all relevant risk assessments. All volunteers involved will be made aware of who is responsible for health and safety.</w:t>
      </w:r>
    </w:p>
    <w:p w:rsidR="00000000" w:rsidDel="00000000" w:rsidP="00000000" w:rsidRDefault="00000000" w:rsidRPr="00000000" w14:paraId="0000000C">
      <w:pPr>
        <w:pStyle w:val="Heading1"/>
        <w:spacing w:after="240" w:before="240" w:lineRule="auto"/>
        <w:contextualSpacing w:val="0"/>
        <w:rPr/>
      </w:pPr>
      <w:bookmarkStart w:colFirst="0" w:colLast="0" w:name="_tmhuj9uaptv5" w:id="4"/>
      <w:bookmarkEnd w:id="4"/>
      <w:r w:rsidDel="00000000" w:rsidR="00000000" w:rsidRPr="00000000">
        <w:rPr>
          <w:rtl w:val="0"/>
        </w:rPr>
        <w:t xml:space="preserve">General arrangements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The WDECG organise social activities and support for the West Didsbury estate community.  A risk assessment will be carried out before every one off event. This will include assessing risk as it relates to all aspects of the event including: equipment; venue; volunteers; attendees. Appropriate precautions will be taken to minimise hazards at all events and activities.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The WDECG may also run regular events at the same venue or using the same equipment, such as our bi-monthly committee meetings. In this case we will carry out a general risk assessment for the event/activity/equipment/venue. All general risk assessments will be reviewed at least once a year.</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We will have a trained first aider present at all events which are open to the public.</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We will make sure all volunteers and staff at events and activities are aware of the location of fire exits, where appropriate.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All volunteers and staff will be made aware of the precautions they need to take as noted on the relevant risk assessment.</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No volunteer or employee will run an event or activity on their own, and at least two volunteers or employees should stay at an event until it is finished and the last attendees have left.</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The WDECG will hold Public Liability Insurance.</w:t>
      </w:r>
    </w:p>
    <w:p w:rsidR="00000000" w:rsidDel="00000000" w:rsidP="00000000" w:rsidRDefault="00000000" w:rsidRPr="00000000" w14:paraId="00000014">
      <w:pPr>
        <w:pStyle w:val="Heading1"/>
        <w:spacing w:line="276" w:lineRule="auto"/>
        <w:contextualSpacing w:val="0"/>
        <w:jc w:val="both"/>
        <w:rPr/>
      </w:pPr>
      <w:bookmarkStart w:colFirst="0" w:colLast="0" w:name="_gmhf2o857k8u" w:id="5"/>
      <w:bookmarkEnd w:id="5"/>
      <w:r w:rsidDel="00000000" w:rsidR="00000000" w:rsidRPr="00000000">
        <w:rPr>
          <w:rtl w:val="0"/>
        </w:rPr>
        <w:t xml:space="preserve">How often this policy is reviewed</w:t>
      </w:r>
    </w:p>
    <w:p w:rsidR="00000000" w:rsidDel="00000000" w:rsidP="00000000" w:rsidRDefault="00000000" w:rsidRPr="00000000" w14:paraId="00000015">
      <w:pPr>
        <w:spacing w:line="276" w:lineRule="auto"/>
        <w:contextualSpacing w:val="0"/>
        <w:jc w:val="both"/>
        <w:rPr/>
      </w:pPr>
      <w:r w:rsidDel="00000000" w:rsidR="00000000" w:rsidRPr="00000000">
        <w:rPr>
          <w:rtl w:val="0"/>
        </w:rPr>
        <w:t xml:space="preserve">The policy will be reviewed a year after development and then every three years, or in the following circumstances:</w:t>
      </w:r>
    </w:p>
    <w:p w:rsidR="00000000" w:rsidDel="00000000" w:rsidP="00000000" w:rsidRDefault="00000000" w:rsidRPr="00000000" w14:paraId="00000016">
      <w:pPr>
        <w:numPr>
          <w:ilvl w:val="0"/>
          <w:numId w:val="3"/>
        </w:numPr>
        <w:spacing w:after="200" w:line="276" w:lineRule="auto"/>
        <w:ind w:left="720" w:hanging="360"/>
        <w:contextualSpacing w:val="1"/>
        <w:jc w:val="both"/>
        <w:rPr/>
      </w:pPr>
      <w:r w:rsidDel="00000000" w:rsidR="00000000" w:rsidRPr="00000000">
        <w:rPr>
          <w:rtl w:val="0"/>
        </w:rPr>
        <w:t xml:space="preserve">Changes in legislation and/or government guidance.</w:t>
      </w:r>
    </w:p>
    <w:p w:rsidR="00000000" w:rsidDel="00000000" w:rsidP="00000000" w:rsidRDefault="00000000" w:rsidRPr="00000000" w14:paraId="00000017">
      <w:pPr>
        <w:numPr>
          <w:ilvl w:val="0"/>
          <w:numId w:val="3"/>
        </w:numPr>
        <w:spacing w:after="200" w:line="276" w:lineRule="auto"/>
        <w:ind w:left="720" w:hanging="360"/>
        <w:contextualSpacing w:val="1"/>
        <w:jc w:val="both"/>
        <w:rPr/>
      </w:pPr>
      <w:r w:rsidDel="00000000" w:rsidR="00000000" w:rsidRPr="00000000">
        <w:rPr>
          <w:rtl w:val="0"/>
        </w:rPr>
        <w:t xml:space="preserve">As required by the Manchester Adult Safeguarding Board.</w:t>
      </w:r>
      <w:r w:rsidDel="00000000" w:rsidR="00000000" w:rsidRPr="00000000">
        <w:rPr>
          <w:rtl w:val="0"/>
        </w:rPr>
      </w:r>
    </w:p>
    <w:p w:rsidR="00000000" w:rsidDel="00000000" w:rsidP="00000000" w:rsidRDefault="00000000" w:rsidRPr="00000000" w14:paraId="00000018">
      <w:pPr>
        <w:numPr>
          <w:ilvl w:val="0"/>
          <w:numId w:val="3"/>
        </w:numPr>
        <w:spacing w:after="200" w:line="276" w:lineRule="auto"/>
        <w:ind w:left="720" w:hanging="360"/>
        <w:contextualSpacing w:val="1"/>
        <w:jc w:val="both"/>
        <w:rPr/>
      </w:pPr>
      <w:r w:rsidDel="00000000" w:rsidR="00000000" w:rsidRPr="00000000">
        <w:rPr>
          <w:rtl w:val="0"/>
        </w:rPr>
        <w:t xml:space="preserve">A</w:t>
      </w:r>
      <w:r w:rsidDel="00000000" w:rsidR="00000000" w:rsidRPr="00000000">
        <w:rPr>
          <w:rtl w:val="0"/>
        </w:rPr>
        <w:t xml:space="preserve">s a result of any other significant change or event.</w:t>
      </w:r>
    </w:p>
    <w:p w:rsidR="00000000" w:rsidDel="00000000" w:rsidP="00000000" w:rsidRDefault="00000000" w:rsidRPr="00000000" w14:paraId="0000001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