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D62F4" w14:textId="4381F60E" w:rsidR="0054472B" w:rsidRPr="00337327" w:rsidRDefault="0043167A" w:rsidP="0054472B">
      <w:pPr>
        <w:pStyle w:val="Coverpage-reporttitle"/>
        <w:spacing w:after="5040"/>
      </w:pPr>
      <w:r>
        <w:t>SG-8 Critical Benchmark Rating System v1.0</w:t>
      </w:r>
    </w:p>
    <w:p w14:paraId="001A0130" w14:textId="77777777" w:rsidR="0054472B" w:rsidRDefault="0054472B" w:rsidP="0054472B">
      <w:pPr>
        <w:pStyle w:val="Coverpage-figureposition"/>
        <w:spacing w:after="480"/>
        <w:jc w:val="right"/>
      </w:pPr>
    </w:p>
    <w:p w14:paraId="00AC3A0D" w14:textId="0A6309DB" w:rsidR="0054472B" w:rsidRDefault="00EB2FFB" w:rsidP="0054472B">
      <w:pPr>
        <w:pStyle w:val="Coverpage-authornames"/>
        <w:rPr>
          <w:rFonts w:ascii="Arial Narrow" w:hAnsi="Arial Narrow"/>
          <w:noProof/>
          <w:szCs w:val="24"/>
        </w:rPr>
      </w:pPr>
      <w:r>
        <w:rPr>
          <w:rFonts w:ascii="Arial Narrow" w:hAnsi="Arial Narrow"/>
          <w:noProof/>
          <w:szCs w:val="24"/>
        </w:rPr>
        <mc:AlternateContent>
          <mc:Choice Requires="wps">
            <w:drawing>
              <wp:anchor distT="0" distB="0" distL="114300" distR="114300" simplePos="0" relativeHeight="251661312" behindDoc="0" locked="1" layoutInCell="1" allowOverlap="0" wp14:anchorId="05CB5669" wp14:editId="64BEB004">
                <wp:simplePos x="0" y="0"/>
                <wp:positionH relativeFrom="margin">
                  <wp:posOffset>2505075</wp:posOffset>
                </wp:positionH>
                <wp:positionV relativeFrom="margin">
                  <wp:posOffset>5265420</wp:posOffset>
                </wp:positionV>
                <wp:extent cx="2303780" cy="628650"/>
                <wp:effectExtent l="0" t="0" r="1270" b="0"/>
                <wp:wrapNone/>
                <wp:docPr id="2" name="Text Box 2"/>
                <wp:cNvGraphicFramePr/>
                <a:graphic xmlns:a="http://schemas.openxmlformats.org/drawingml/2006/main">
                  <a:graphicData uri="http://schemas.microsoft.com/office/word/2010/wordprocessingShape">
                    <wps:wsp>
                      <wps:cNvSpPr txBox="1"/>
                      <wps:spPr>
                        <a:xfrm>
                          <a:off x="0" y="0"/>
                          <a:ext cx="2303780" cy="628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3D1C8E" w14:textId="77777777" w:rsidR="00EB2FFB" w:rsidRPr="008C3C20" w:rsidRDefault="00EB2FFB" w:rsidP="00EB2FFB">
                            <w:pPr>
                              <w:pStyle w:val="ClearanceNotice"/>
                              <w:rPr>
                                <w:sz w:val="24"/>
                              </w:rPr>
                            </w:pPr>
                            <w:r w:rsidRPr="008C3C20">
                              <w:t>Draft. Document has not been reviewed and approved for public release.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CB5669" id="_x0000_t202" coordsize="21600,21600" o:spt="202" path="m,l,21600r21600,l21600,xe">
                <v:stroke joinstyle="miter"/>
                <v:path gradientshapeok="t" o:connecttype="rect"/>
              </v:shapetype>
              <v:shape id="Text Box 2" o:spid="_x0000_s1026" type="#_x0000_t202" style="position:absolute;left:0;text-align:left;margin-left:197.25pt;margin-top:414.6pt;width:181.4pt;height:4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" o:allowoverlap="f" fillcolor="white [3201]" stroked="f" strokeweight=".5pt">
                <v:textbox>
                  <w:txbxContent>
                    <w:p w14:paraId="3F3D1C8E" w14:textId="77777777" w:rsidR="00EB2FFB" w:rsidRPr="008C3C20" w:rsidRDefault="00EB2FFB" w:rsidP="00EB2FFB">
                      <w:pPr>
                        <w:pStyle w:val="ClearanceNotice"/>
                        <w:rPr>
                          <w:sz w:val="24"/>
                        </w:rPr>
                      </w:pPr>
                      <w:r w:rsidRPr="008C3C20">
                        <w:t>Draft. Document has not been reviewed and approved for public release.</w:t>
                      </w:r>
                    </w:p>
                  </w:txbxContent>
                </v:textbox>
                <w10:wrap anchorx="margin" anchory="margin"/>
                <w10:anchorlock/>
              </v:shape>
            </w:pict>
          </mc:Fallback>
        </mc:AlternateContent>
      </w:r>
      <w:r w:rsidR="0043167A">
        <w:rPr>
          <w:rFonts w:ascii="Arial Narrow" w:hAnsi="Arial Narrow"/>
          <w:noProof/>
          <w:szCs w:val="24"/>
        </w:rPr>
        <w:t>W. Wieselquist</w:t>
      </w:r>
    </w:p>
    <w:p w14:paraId="0F5F28C4" w14:textId="779536A8" w:rsidR="005647C4" w:rsidRDefault="005647C4" w:rsidP="0054472B">
      <w:pPr>
        <w:pStyle w:val="Coverpage-authornames"/>
      </w:pPr>
      <w:r>
        <w:rPr>
          <w:rFonts w:ascii="Arial Narrow" w:hAnsi="Arial Narrow"/>
          <w:noProof/>
          <w:szCs w:val="24"/>
        </w:rPr>
        <w:t>Next</w:t>
      </w:r>
    </w:p>
    <w:p w14:paraId="26B37875" w14:textId="2B41BEF8" w:rsidR="0054472B" w:rsidRPr="007250D2" w:rsidRDefault="0043167A" w:rsidP="00D549DA">
      <w:pPr>
        <w:pStyle w:val="Coverpage-date"/>
        <w:rPr>
          <w:sz w:val="20"/>
        </w:rPr>
      </w:pPr>
      <w:r>
        <w:t xml:space="preserve">June 2023 </w:t>
      </w:r>
    </w:p>
    <w:p w14:paraId="4E20F5D9" w14:textId="77777777" w:rsidR="0054472B" w:rsidRPr="00E37A65" w:rsidRDefault="0054472B" w:rsidP="0054472B">
      <w:pPr>
        <w:rPr>
          <w:color w:val="000000" w:themeColor="text1"/>
        </w:rPr>
        <w:sectPr w:rsidR="0054472B" w:rsidRPr="00E37A65" w:rsidSect="00066F5E">
          <w:headerReference w:type="default" r:id="rId8"/>
          <w:headerReference w:type="first" r:id="rId9"/>
          <w:footerReference w:type="first" r:id="rId10"/>
          <w:endnotePr>
            <w:numFmt w:val="decimal"/>
          </w:endnotePr>
          <w:pgSz w:w="12240" w:h="15840" w:code="1"/>
          <w:pgMar w:top="1440" w:right="1440" w:bottom="2016" w:left="1584" w:header="720" w:footer="432" w:gutter="0"/>
          <w:pgNumType w:start="1"/>
          <w:cols w:space="720"/>
          <w:noEndnote/>
          <w:titlePg/>
          <w:docGrid w:linePitch="326"/>
        </w:sectPr>
      </w:pPr>
    </w:p>
    <w:p w14:paraId="61845B66" w14:textId="77777777" w:rsidR="0054472B" w:rsidRDefault="0054472B" w:rsidP="0054472B">
      <w:pPr>
        <w:tabs>
          <w:tab w:val="left" w:pos="360"/>
        </w:tabs>
      </w:pPr>
      <w:r>
        <w:rPr>
          <w:noProof/>
        </w:rPr>
        <w:lastRenderedPageBreak/>
        <mc:AlternateContent>
          <mc:Choice Requires="wps">
            <w:drawing>
              <wp:anchor distT="0" distB="0" distL="114300" distR="114300" simplePos="0" relativeHeight="251659264" behindDoc="0" locked="1" layoutInCell="1" allowOverlap="0" wp14:anchorId="02737A4D" wp14:editId="23277E38">
                <wp:simplePos x="0" y="0"/>
                <wp:positionH relativeFrom="margin">
                  <wp:align>center</wp:align>
                </wp:positionH>
                <wp:positionV relativeFrom="margin">
                  <wp:align>center</wp:align>
                </wp:positionV>
                <wp:extent cx="5842635" cy="64389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016" cy="6438900"/>
                        </a:xfrm>
                        <a:prstGeom prst="rect">
                          <a:avLst/>
                        </a:prstGeom>
                        <a:noFill/>
                        <a:ln w="9525">
                          <a:noFill/>
                          <a:miter lim="800000"/>
                          <a:headEnd/>
                          <a:tailEnd/>
                        </a:ln>
                      </wps:spPr>
                      <wps:txbx>
                        <w:txbxContent>
                          <w:p w14:paraId="30C25841" w14:textId="77777777" w:rsidR="0054472B" w:rsidRDefault="0054472B" w:rsidP="0054472B">
                            <w:pPr>
                              <w:rPr>
                                <w:rFonts w:ascii="Arial" w:hAnsi="Arial" w:cs="Arial"/>
                                <w:sz w:val="16"/>
                              </w:rPr>
                            </w:pPr>
                          </w:p>
                          <w:tbl>
                            <w:tblPr>
                              <w:tblW w:w="0" w:type="auto"/>
                              <w:jc w:val="center"/>
                              <w:tblLayout w:type="fixed"/>
                              <w:tblCellMar>
                                <w:left w:w="58" w:type="dxa"/>
                                <w:right w:w="58" w:type="dxa"/>
                              </w:tblCellMar>
                              <w:tblLook w:val="0000" w:firstRow="0" w:lastRow="0" w:firstColumn="0" w:lastColumn="0" w:noHBand="0" w:noVBand="0"/>
                            </w:tblPr>
                            <w:tblGrid>
                              <w:gridCol w:w="8075"/>
                            </w:tblGrid>
                            <w:tr w:rsidR="00C34949" w14:paraId="346F534D" w14:textId="77777777" w:rsidTr="009E2F14">
                              <w:trPr>
                                <w:cantSplit/>
                                <w:jc w:val="center"/>
                              </w:trPr>
                              <w:tc>
                                <w:tcPr>
                                  <w:tcW w:w="8075" w:type="dxa"/>
                                  <w:tcBorders>
                                    <w:top w:val="single" w:sz="6" w:space="0" w:color="000000"/>
                                    <w:left w:val="single" w:sz="6" w:space="0" w:color="000000"/>
                                    <w:right w:val="single" w:sz="6" w:space="0" w:color="000000"/>
                                  </w:tcBorders>
                                </w:tcPr>
                                <w:p w14:paraId="2AC075AE" w14:textId="77777777" w:rsidR="00C34949" w:rsidRPr="00C61E19" w:rsidRDefault="00C34949" w:rsidP="00C34949">
                                  <w:pPr>
                                    <w:spacing w:before="40" w:after="120"/>
                                    <w:jc w:val="center"/>
                                    <w:rPr>
                                      <w:rFonts w:ascii="Arial" w:hAnsi="Arial" w:cs="Arial"/>
                                      <w:b/>
                                    </w:rPr>
                                  </w:pPr>
                                  <w:r w:rsidRPr="00C61E19">
                                    <w:rPr>
                                      <w:rFonts w:ascii="Arial" w:hAnsi="Arial" w:cs="Arial"/>
                                      <w:b/>
                                    </w:rPr>
                                    <w:t>DOCUMENT AVAILABILITY</w:t>
                                  </w:r>
                                </w:p>
                              </w:tc>
                            </w:tr>
                            <w:tr w:rsidR="00C34949" w14:paraId="4DD65899" w14:textId="77777777" w:rsidTr="009E2F14">
                              <w:trPr>
                                <w:cantSplit/>
                                <w:jc w:val="center"/>
                              </w:trPr>
                              <w:tc>
                                <w:tcPr>
                                  <w:tcW w:w="8075" w:type="dxa"/>
                                  <w:tcBorders>
                                    <w:left w:val="single" w:sz="6" w:space="0" w:color="000000"/>
                                    <w:bottom w:val="single" w:sz="6" w:space="0" w:color="000000"/>
                                    <w:right w:val="single" w:sz="6" w:space="0" w:color="000000"/>
                                  </w:tcBorders>
                                </w:tcPr>
                                <w:p w14:paraId="2DDB8891" w14:textId="77777777" w:rsidR="00C34949" w:rsidRPr="00C61E19" w:rsidRDefault="00C34949" w:rsidP="00C34949">
                                  <w:pPr>
                                    <w:jc w:val="both"/>
                                    <w:rPr>
                                      <w:rFonts w:ascii="Arial" w:hAnsi="Arial" w:cs="Arial"/>
                                      <w:sz w:val="18"/>
                                      <w:szCs w:val="18"/>
                                    </w:rPr>
                                  </w:pPr>
                                  <w:r w:rsidRPr="00C61E19">
                                    <w:rPr>
                                      <w:rFonts w:ascii="Arial" w:hAnsi="Arial" w:cs="Arial"/>
                                      <w:sz w:val="18"/>
                                      <w:szCs w:val="18"/>
                                    </w:rPr>
                                    <w:t xml:space="preserve">Reports produced after January 1, 1996, are generally available free via </w:t>
                                  </w:r>
                                  <w:r>
                                    <w:rPr>
                                      <w:rFonts w:ascii="Arial" w:hAnsi="Arial" w:cs="Arial"/>
                                      <w:sz w:val="18"/>
                                      <w:szCs w:val="18"/>
                                    </w:rPr>
                                    <w:t>OSTI.GOV</w:t>
                                  </w:r>
                                  <w:r w:rsidRPr="00C61E19">
                                    <w:rPr>
                                      <w:rFonts w:ascii="Arial" w:hAnsi="Arial" w:cs="Arial"/>
                                      <w:sz w:val="18"/>
                                      <w:szCs w:val="18"/>
                                    </w:rPr>
                                    <w:t>.</w:t>
                                  </w:r>
                                </w:p>
                                <w:p w14:paraId="5A12E31D" w14:textId="77777777" w:rsidR="00C34949" w:rsidRPr="00C61E19" w:rsidRDefault="00C34949" w:rsidP="00C34949">
                                  <w:pPr>
                                    <w:jc w:val="both"/>
                                    <w:rPr>
                                      <w:rFonts w:ascii="Arial" w:hAnsi="Arial" w:cs="Arial"/>
                                      <w:sz w:val="18"/>
                                      <w:szCs w:val="18"/>
                                    </w:rPr>
                                  </w:pPr>
                                </w:p>
                                <w:p w14:paraId="219FB178" w14:textId="77777777" w:rsidR="00C34949" w:rsidRPr="00BA5F19" w:rsidRDefault="00C34949" w:rsidP="00C34949">
                                  <w:pPr>
                                    <w:jc w:val="both"/>
                                    <w:rPr>
                                      <w:rFonts w:ascii="Arial" w:hAnsi="Arial" w:cs="Arial"/>
                                      <w:sz w:val="18"/>
                                      <w:szCs w:val="18"/>
                                    </w:rPr>
                                  </w:pPr>
                                  <w:r w:rsidRPr="00C61E19">
                                    <w:rPr>
                                      <w:rFonts w:ascii="Arial" w:hAnsi="Arial" w:cs="Arial"/>
                                      <w:sz w:val="18"/>
                                      <w:szCs w:val="18"/>
                                    </w:rPr>
                                    <w:tab/>
                                  </w:r>
                                  <w:r w:rsidRPr="00C61E19">
                                    <w:rPr>
                                      <w:rFonts w:ascii="Arial" w:hAnsi="Arial" w:cs="Arial"/>
                                      <w:b/>
                                      <w:i/>
                                      <w:sz w:val="18"/>
                                      <w:szCs w:val="18"/>
                                    </w:rPr>
                                    <w:t>Websit</w:t>
                                  </w:r>
                                  <w:r w:rsidRPr="00BA5F19">
                                    <w:rPr>
                                      <w:rFonts w:ascii="Arial" w:hAnsi="Arial" w:cs="Arial"/>
                                      <w:b/>
                                      <w:i/>
                                      <w:sz w:val="18"/>
                                      <w:szCs w:val="18"/>
                                    </w:rPr>
                                    <w:t>e</w:t>
                                  </w:r>
                                  <w:r w:rsidRPr="00BA5F19">
                                    <w:rPr>
                                      <w:rFonts w:ascii="Arial" w:hAnsi="Arial" w:cs="Arial"/>
                                      <w:sz w:val="18"/>
                                      <w:szCs w:val="18"/>
                                    </w:rPr>
                                    <w:t xml:space="preserve"> </w:t>
                                  </w:r>
                                  <w:hyperlink r:id="rId11" w:history="1">
                                    <w:r w:rsidRPr="00F94904">
                                      <w:rPr>
                                        <w:rStyle w:val="Hyperlink"/>
                                        <w:rFonts w:ascii="Arial" w:hAnsi="Arial" w:cs="Arial"/>
                                        <w:sz w:val="18"/>
                                        <w:szCs w:val="18"/>
                                      </w:rPr>
                                      <w:t>www.osti.gov</w:t>
                                    </w:r>
                                  </w:hyperlink>
                                </w:p>
                                <w:p w14:paraId="06680B95" w14:textId="77777777" w:rsidR="00C34949" w:rsidRPr="00C61E19" w:rsidRDefault="00C34949" w:rsidP="00C34949">
                                  <w:pPr>
                                    <w:jc w:val="both"/>
                                    <w:rPr>
                                      <w:rFonts w:ascii="Arial" w:hAnsi="Arial" w:cs="Arial"/>
                                      <w:sz w:val="18"/>
                                      <w:szCs w:val="18"/>
                                    </w:rPr>
                                  </w:pPr>
                                </w:p>
                                <w:p w14:paraId="60911570" w14:textId="77777777" w:rsidR="00C34949" w:rsidRPr="00C61E19" w:rsidRDefault="00C34949" w:rsidP="00C34949">
                                  <w:pPr>
                                    <w:jc w:val="both"/>
                                    <w:rPr>
                                      <w:rFonts w:ascii="Arial" w:hAnsi="Arial" w:cs="Arial"/>
                                      <w:sz w:val="18"/>
                                      <w:szCs w:val="18"/>
                                    </w:rPr>
                                  </w:pPr>
                                  <w:r w:rsidRPr="00C61E19">
                                    <w:rPr>
                                      <w:rFonts w:ascii="Arial" w:hAnsi="Arial" w:cs="Arial"/>
                                      <w:sz w:val="18"/>
                                      <w:szCs w:val="18"/>
                                    </w:rPr>
                                    <w:t>Reports produced before January 1, 1996, may be purchased by members of the public from the following source</w:t>
                                  </w:r>
                                  <w:r>
                                    <w:rPr>
                                      <w:rFonts w:ascii="Arial" w:hAnsi="Arial" w:cs="Arial"/>
                                      <w:sz w:val="18"/>
                                      <w:szCs w:val="18"/>
                                    </w:rPr>
                                    <w:t>:</w:t>
                                  </w:r>
                                </w:p>
                                <w:p w14:paraId="38F06060" w14:textId="77777777" w:rsidR="00C34949" w:rsidRPr="00C61E19" w:rsidRDefault="00C34949" w:rsidP="00C34949">
                                  <w:pPr>
                                    <w:jc w:val="both"/>
                                    <w:rPr>
                                      <w:rFonts w:ascii="Arial" w:hAnsi="Arial" w:cs="Arial"/>
                                      <w:sz w:val="18"/>
                                      <w:szCs w:val="18"/>
                                    </w:rPr>
                                  </w:pPr>
                                </w:p>
                                <w:p w14:paraId="78AE11EC" w14:textId="77777777" w:rsidR="00C34949" w:rsidRPr="00C61E19" w:rsidRDefault="00C34949" w:rsidP="00C34949">
                                  <w:pPr>
                                    <w:jc w:val="both"/>
                                    <w:rPr>
                                      <w:rFonts w:ascii="Arial" w:hAnsi="Arial" w:cs="Arial"/>
                                      <w:sz w:val="18"/>
                                      <w:szCs w:val="18"/>
                                    </w:rPr>
                                  </w:pPr>
                                  <w:r w:rsidRPr="00C61E19">
                                    <w:rPr>
                                      <w:rFonts w:ascii="Arial" w:hAnsi="Arial" w:cs="Arial"/>
                                      <w:sz w:val="18"/>
                                      <w:szCs w:val="18"/>
                                    </w:rPr>
                                    <w:tab/>
                                    <w:t>National Technical Information Service</w:t>
                                  </w:r>
                                </w:p>
                                <w:p w14:paraId="48F27CC6" w14:textId="77777777" w:rsidR="00C34949" w:rsidRPr="00C61E19" w:rsidRDefault="00C34949" w:rsidP="00C34949">
                                  <w:pPr>
                                    <w:jc w:val="both"/>
                                    <w:rPr>
                                      <w:rFonts w:ascii="Arial" w:hAnsi="Arial" w:cs="Arial"/>
                                      <w:sz w:val="18"/>
                                      <w:szCs w:val="18"/>
                                    </w:rPr>
                                  </w:pPr>
                                  <w:r w:rsidRPr="00C61E19">
                                    <w:rPr>
                                      <w:rFonts w:ascii="Arial" w:hAnsi="Arial" w:cs="Arial"/>
                                      <w:sz w:val="18"/>
                                      <w:szCs w:val="18"/>
                                    </w:rPr>
                                    <w:tab/>
                                    <w:t>5285 Port Royal Road</w:t>
                                  </w:r>
                                </w:p>
                                <w:p w14:paraId="19A9A374" w14:textId="77777777" w:rsidR="00C34949" w:rsidRPr="00C61E19" w:rsidRDefault="00C34949" w:rsidP="00C34949">
                                  <w:pPr>
                                    <w:jc w:val="both"/>
                                    <w:rPr>
                                      <w:rFonts w:ascii="Arial" w:hAnsi="Arial" w:cs="Arial"/>
                                      <w:sz w:val="18"/>
                                      <w:szCs w:val="18"/>
                                    </w:rPr>
                                  </w:pPr>
                                  <w:r w:rsidRPr="00C61E19">
                                    <w:rPr>
                                      <w:rFonts w:ascii="Arial" w:hAnsi="Arial" w:cs="Arial"/>
                                      <w:sz w:val="18"/>
                                      <w:szCs w:val="18"/>
                                    </w:rPr>
                                    <w:tab/>
                                    <w:t>Springfield, VA 22161</w:t>
                                  </w:r>
                                </w:p>
                                <w:p w14:paraId="1BF065B8" w14:textId="77777777" w:rsidR="00C34949" w:rsidRPr="00C61E19" w:rsidRDefault="00C34949" w:rsidP="00C34949">
                                  <w:pPr>
                                    <w:jc w:val="both"/>
                                    <w:rPr>
                                      <w:rFonts w:ascii="Arial" w:hAnsi="Arial" w:cs="Arial"/>
                                      <w:sz w:val="18"/>
                                      <w:szCs w:val="18"/>
                                    </w:rPr>
                                  </w:pPr>
                                  <w:r w:rsidRPr="00C61E19">
                                    <w:rPr>
                                      <w:rFonts w:ascii="Arial" w:hAnsi="Arial" w:cs="Arial"/>
                                      <w:sz w:val="18"/>
                                      <w:szCs w:val="18"/>
                                    </w:rPr>
                                    <w:tab/>
                                  </w:r>
                                  <w:r w:rsidRPr="00C61E19">
                                    <w:rPr>
                                      <w:rFonts w:ascii="Arial" w:hAnsi="Arial" w:cs="Arial"/>
                                      <w:b/>
                                      <w:i/>
                                      <w:sz w:val="18"/>
                                      <w:szCs w:val="18"/>
                                    </w:rPr>
                                    <w:t>Telephone</w:t>
                                  </w:r>
                                  <w:r w:rsidRPr="00C61E19">
                                    <w:rPr>
                                      <w:rFonts w:ascii="Arial" w:hAnsi="Arial" w:cs="Arial"/>
                                      <w:sz w:val="18"/>
                                      <w:szCs w:val="18"/>
                                    </w:rPr>
                                    <w:t xml:space="preserve"> 703-605-6000 (1-800-553-6847)</w:t>
                                  </w:r>
                                </w:p>
                                <w:p w14:paraId="707B0FBE" w14:textId="77777777" w:rsidR="00C34949" w:rsidRPr="00C61E19" w:rsidRDefault="00C34949" w:rsidP="00C34949">
                                  <w:pPr>
                                    <w:jc w:val="both"/>
                                    <w:rPr>
                                      <w:rFonts w:ascii="Arial" w:hAnsi="Arial" w:cs="Arial"/>
                                      <w:sz w:val="18"/>
                                      <w:szCs w:val="18"/>
                                    </w:rPr>
                                  </w:pPr>
                                  <w:r w:rsidRPr="00C61E19">
                                    <w:rPr>
                                      <w:rFonts w:ascii="Arial" w:hAnsi="Arial" w:cs="Arial"/>
                                      <w:sz w:val="18"/>
                                      <w:szCs w:val="18"/>
                                    </w:rPr>
                                    <w:tab/>
                                  </w:r>
                                  <w:r w:rsidRPr="00C61E19">
                                    <w:rPr>
                                      <w:rFonts w:ascii="Arial" w:hAnsi="Arial" w:cs="Arial"/>
                                      <w:b/>
                                      <w:i/>
                                      <w:sz w:val="18"/>
                                      <w:szCs w:val="18"/>
                                    </w:rPr>
                                    <w:t>TDD</w:t>
                                  </w:r>
                                  <w:r w:rsidRPr="00C61E19">
                                    <w:rPr>
                                      <w:rFonts w:ascii="Arial" w:hAnsi="Arial" w:cs="Arial"/>
                                      <w:sz w:val="18"/>
                                      <w:szCs w:val="18"/>
                                    </w:rPr>
                                    <w:t xml:space="preserve"> 703-487-4639</w:t>
                                  </w:r>
                                </w:p>
                                <w:p w14:paraId="3C17EC4D" w14:textId="77777777" w:rsidR="00C34949" w:rsidRPr="00C61E19" w:rsidRDefault="00C34949" w:rsidP="00C34949">
                                  <w:pPr>
                                    <w:jc w:val="both"/>
                                    <w:rPr>
                                      <w:rFonts w:ascii="Arial" w:hAnsi="Arial" w:cs="Arial"/>
                                      <w:sz w:val="18"/>
                                      <w:szCs w:val="18"/>
                                    </w:rPr>
                                  </w:pPr>
                                  <w:r w:rsidRPr="00C61E19">
                                    <w:rPr>
                                      <w:rFonts w:ascii="Arial" w:hAnsi="Arial" w:cs="Arial"/>
                                      <w:sz w:val="18"/>
                                      <w:szCs w:val="18"/>
                                    </w:rPr>
                                    <w:tab/>
                                  </w:r>
                                  <w:r w:rsidRPr="00C61E19">
                                    <w:rPr>
                                      <w:rFonts w:ascii="Arial" w:hAnsi="Arial" w:cs="Arial"/>
                                      <w:b/>
                                      <w:i/>
                                      <w:sz w:val="18"/>
                                      <w:szCs w:val="18"/>
                                    </w:rPr>
                                    <w:t>Fax</w:t>
                                  </w:r>
                                  <w:r w:rsidRPr="00C61E19">
                                    <w:rPr>
                                      <w:rFonts w:ascii="Arial" w:hAnsi="Arial" w:cs="Arial"/>
                                      <w:sz w:val="18"/>
                                      <w:szCs w:val="18"/>
                                    </w:rPr>
                                    <w:t xml:space="preserve"> 703-605-6900</w:t>
                                  </w:r>
                                </w:p>
                                <w:p w14:paraId="7CD11E9C" w14:textId="77777777" w:rsidR="00C34949" w:rsidRPr="00C61E19" w:rsidRDefault="00C34949" w:rsidP="00C34949">
                                  <w:pPr>
                                    <w:jc w:val="both"/>
                                    <w:rPr>
                                      <w:rFonts w:ascii="Arial" w:hAnsi="Arial" w:cs="Arial"/>
                                      <w:sz w:val="18"/>
                                      <w:szCs w:val="18"/>
                                    </w:rPr>
                                  </w:pPr>
                                  <w:r w:rsidRPr="00C61E19">
                                    <w:rPr>
                                      <w:rFonts w:ascii="Arial" w:hAnsi="Arial" w:cs="Arial"/>
                                      <w:sz w:val="18"/>
                                      <w:szCs w:val="18"/>
                                    </w:rPr>
                                    <w:tab/>
                                  </w:r>
                                  <w:r w:rsidRPr="00C61E19">
                                    <w:rPr>
                                      <w:rFonts w:ascii="Arial" w:hAnsi="Arial" w:cs="Arial"/>
                                      <w:b/>
                                      <w:i/>
                                      <w:sz w:val="18"/>
                                      <w:szCs w:val="18"/>
                                    </w:rPr>
                                    <w:t>E-mail</w:t>
                                  </w:r>
                                  <w:r w:rsidRPr="00C61E19">
                                    <w:rPr>
                                      <w:rFonts w:ascii="Arial" w:hAnsi="Arial" w:cs="Arial"/>
                                      <w:sz w:val="18"/>
                                      <w:szCs w:val="18"/>
                                    </w:rPr>
                                    <w:t xml:space="preserve"> info@ntis.gov</w:t>
                                  </w:r>
                                </w:p>
                                <w:p w14:paraId="7D90424D" w14:textId="77777777" w:rsidR="00C34949" w:rsidRPr="00AD2C24" w:rsidRDefault="00C34949" w:rsidP="00C34949">
                                  <w:pPr>
                                    <w:rPr>
                                      <w:rFonts w:ascii="Arial" w:hAnsi="Arial" w:cs="Arial"/>
                                      <w:sz w:val="18"/>
                                      <w:szCs w:val="18"/>
                                    </w:rPr>
                                  </w:pPr>
                                  <w:r w:rsidRPr="00F662A4">
                                    <w:rPr>
                                      <w:rFonts w:ascii="Arial" w:hAnsi="Arial" w:cs="Arial"/>
                                      <w:sz w:val="18"/>
                                      <w:szCs w:val="18"/>
                                    </w:rPr>
                                    <w:tab/>
                                  </w:r>
                                  <w:r w:rsidRPr="00F662A4">
                                    <w:rPr>
                                      <w:rFonts w:ascii="Arial" w:hAnsi="Arial" w:cs="Arial"/>
                                      <w:b/>
                                      <w:i/>
                                      <w:sz w:val="18"/>
                                      <w:szCs w:val="18"/>
                                    </w:rPr>
                                    <w:t>Web</w:t>
                                  </w:r>
                                  <w:r w:rsidRPr="00AD2C24">
                                    <w:rPr>
                                      <w:rFonts w:ascii="Arial" w:hAnsi="Arial" w:cs="Arial"/>
                                      <w:b/>
                                      <w:i/>
                                      <w:sz w:val="18"/>
                                      <w:szCs w:val="18"/>
                                    </w:rPr>
                                    <w:t>site</w:t>
                                  </w:r>
                                  <w:r w:rsidRPr="00AD2C24">
                                    <w:rPr>
                                      <w:rFonts w:ascii="Arial" w:hAnsi="Arial" w:cs="Arial"/>
                                      <w:sz w:val="18"/>
                                      <w:szCs w:val="18"/>
                                    </w:rPr>
                                    <w:t xml:space="preserve"> </w:t>
                                  </w:r>
                                  <w:hyperlink r:id="rId12" w:history="1">
                                    <w:r w:rsidRPr="00AD2C24">
                                      <w:rPr>
                                        <w:rStyle w:val="Hyperlink"/>
                                        <w:rFonts w:ascii="Arial" w:hAnsi="Arial" w:cs="Arial"/>
                                        <w:sz w:val="18"/>
                                        <w:szCs w:val="18"/>
                                      </w:rPr>
                                      <w:t>http://classic.ntis.gov/</w:t>
                                    </w:r>
                                  </w:hyperlink>
                                </w:p>
                                <w:p w14:paraId="224C7916" w14:textId="77777777" w:rsidR="00C34949" w:rsidRPr="00C61E19" w:rsidRDefault="00C34949" w:rsidP="00C34949">
                                  <w:pPr>
                                    <w:jc w:val="both"/>
                                    <w:rPr>
                                      <w:rFonts w:ascii="Arial" w:hAnsi="Arial" w:cs="Arial"/>
                                      <w:sz w:val="18"/>
                                      <w:szCs w:val="18"/>
                                    </w:rPr>
                                  </w:pPr>
                                </w:p>
                                <w:p w14:paraId="6ACE173B" w14:textId="77777777" w:rsidR="00C34949" w:rsidRPr="00C61E19" w:rsidRDefault="00C34949" w:rsidP="00C34949">
                                  <w:pPr>
                                    <w:jc w:val="both"/>
                                    <w:rPr>
                                      <w:rFonts w:ascii="Arial" w:hAnsi="Arial" w:cs="Arial"/>
                                      <w:sz w:val="18"/>
                                      <w:szCs w:val="18"/>
                                    </w:rPr>
                                  </w:pPr>
                                  <w:r w:rsidRPr="00C61E19">
                                    <w:rPr>
                                      <w:rFonts w:ascii="Arial" w:hAnsi="Arial" w:cs="Arial"/>
                                      <w:sz w:val="18"/>
                                      <w:szCs w:val="18"/>
                                    </w:rPr>
                                    <w:t xml:space="preserve">Reports are available to </w:t>
                                  </w:r>
                                  <w:r>
                                    <w:rPr>
                                      <w:rFonts w:ascii="Arial" w:hAnsi="Arial" w:cs="Arial"/>
                                      <w:sz w:val="18"/>
                                      <w:szCs w:val="18"/>
                                    </w:rPr>
                                    <w:t>US Department of Energy (</w:t>
                                  </w:r>
                                  <w:r w:rsidRPr="00C61E19">
                                    <w:rPr>
                                      <w:rFonts w:ascii="Arial" w:hAnsi="Arial" w:cs="Arial"/>
                                      <w:sz w:val="18"/>
                                      <w:szCs w:val="18"/>
                                    </w:rPr>
                                    <w:t>DOE</w:t>
                                  </w:r>
                                  <w:r>
                                    <w:rPr>
                                      <w:rFonts w:ascii="Arial" w:hAnsi="Arial" w:cs="Arial"/>
                                      <w:sz w:val="18"/>
                                      <w:szCs w:val="18"/>
                                    </w:rPr>
                                    <w:t>)</w:t>
                                  </w:r>
                                  <w:r w:rsidRPr="00C61E19">
                                    <w:rPr>
                                      <w:rFonts w:ascii="Arial" w:hAnsi="Arial" w:cs="Arial"/>
                                      <w:sz w:val="18"/>
                                      <w:szCs w:val="18"/>
                                    </w:rPr>
                                    <w:t xml:space="preserve"> employees, DOE contractors, Energy Technology Data Exchange representatives, and International Nuclear Information System representa</w:t>
                                  </w:r>
                                  <w:r>
                                    <w:rPr>
                                      <w:rFonts w:ascii="Arial" w:hAnsi="Arial" w:cs="Arial"/>
                                      <w:sz w:val="18"/>
                                      <w:szCs w:val="18"/>
                                    </w:rPr>
                                    <w:t>tives from the following source:</w:t>
                                  </w:r>
                                </w:p>
                                <w:p w14:paraId="7F5E3541" w14:textId="77777777" w:rsidR="00C34949" w:rsidRPr="00C61E19" w:rsidRDefault="00C34949" w:rsidP="00C34949">
                                  <w:pPr>
                                    <w:jc w:val="both"/>
                                    <w:rPr>
                                      <w:rFonts w:ascii="Arial" w:hAnsi="Arial" w:cs="Arial"/>
                                      <w:sz w:val="18"/>
                                      <w:szCs w:val="18"/>
                                    </w:rPr>
                                  </w:pPr>
                                </w:p>
                                <w:p w14:paraId="5C2E0482" w14:textId="77777777" w:rsidR="00C34949" w:rsidRPr="00C61E19" w:rsidRDefault="00C34949" w:rsidP="00C34949">
                                  <w:pPr>
                                    <w:jc w:val="both"/>
                                    <w:rPr>
                                      <w:rFonts w:ascii="Arial" w:hAnsi="Arial" w:cs="Arial"/>
                                      <w:sz w:val="18"/>
                                      <w:szCs w:val="18"/>
                                    </w:rPr>
                                  </w:pPr>
                                  <w:r w:rsidRPr="00C61E19">
                                    <w:rPr>
                                      <w:rFonts w:ascii="Arial" w:hAnsi="Arial" w:cs="Arial"/>
                                      <w:sz w:val="18"/>
                                      <w:szCs w:val="18"/>
                                    </w:rPr>
                                    <w:tab/>
                                    <w:t>Office of Scientific and Technical Information</w:t>
                                  </w:r>
                                </w:p>
                                <w:p w14:paraId="6C6FDFD7" w14:textId="77777777" w:rsidR="00C34949" w:rsidRPr="00C61E19" w:rsidRDefault="00C34949" w:rsidP="00C34949">
                                  <w:pPr>
                                    <w:jc w:val="both"/>
                                    <w:rPr>
                                      <w:rFonts w:ascii="Arial" w:hAnsi="Arial" w:cs="Arial"/>
                                      <w:sz w:val="18"/>
                                      <w:szCs w:val="18"/>
                                    </w:rPr>
                                  </w:pPr>
                                  <w:r w:rsidRPr="00C61E19">
                                    <w:rPr>
                                      <w:rFonts w:ascii="Arial" w:hAnsi="Arial" w:cs="Arial"/>
                                      <w:sz w:val="18"/>
                                      <w:szCs w:val="18"/>
                                    </w:rPr>
                                    <w:tab/>
                                    <w:t>PO Box 62</w:t>
                                  </w:r>
                                </w:p>
                                <w:p w14:paraId="1AEB3B89" w14:textId="77777777" w:rsidR="00C34949" w:rsidRPr="00C61E19" w:rsidRDefault="00C34949" w:rsidP="00C34949">
                                  <w:pPr>
                                    <w:jc w:val="both"/>
                                    <w:rPr>
                                      <w:rFonts w:ascii="Arial" w:hAnsi="Arial" w:cs="Arial"/>
                                      <w:sz w:val="18"/>
                                      <w:szCs w:val="18"/>
                                    </w:rPr>
                                  </w:pPr>
                                  <w:r w:rsidRPr="00C61E19">
                                    <w:rPr>
                                      <w:rFonts w:ascii="Arial" w:hAnsi="Arial" w:cs="Arial"/>
                                      <w:sz w:val="18"/>
                                      <w:szCs w:val="18"/>
                                    </w:rPr>
                                    <w:tab/>
                                    <w:t>Oak Ridge, TN 37831</w:t>
                                  </w:r>
                                </w:p>
                                <w:p w14:paraId="4D57B722" w14:textId="77777777" w:rsidR="00C34949" w:rsidRPr="00C61E19" w:rsidRDefault="00C34949" w:rsidP="00C34949">
                                  <w:pPr>
                                    <w:jc w:val="both"/>
                                    <w:rPr>
                                      <w:rFonts w:ascii="Arial" w:hAnsi="Arial" w:cs="Arial"/>
                                      <w:sz w:val="18"/>
                                      <w:szCs w:val="18"/>
                                    </w:rPr>
                                  </w:pPr>
                                  <w:r w:rsidRPr="00C61E19">
                                    <w:rPr>
                                      <w:rFonts w:ascii="Arial" w:hAnsi="Arial" w:cs="Arial"/>
                                      <w:sz w:val="18"/>
                                      <w:szCs w:val="18"/>
                                    </w:rPr>
                                    <w:tab/>
                                  </w:r>
                                  <w:r w:rsidRPr="00C61E19">
                                    <w:rPr>
                                      <w:rFonts w:ascii="Arial" w:hAnsi="Arial" w:cs="Arial"/>
                                      <w:b/>
                                      <w:i/>
                                      <w:sz w:val="18"/>
                                      <w:szCs w:val="18"/>
                                    </w:rPr>
                                    <w:t>Telephone</w:t>
                                  </w:r>
                                  <w:r w:rsidRPr="00C61E19">
                                    <w:rPr>
                                      <w:rFonts w:ascii="Arial" w:hAnsi="Arial" w:cs="Arial"/>
                                      <w:sz w:val="18"/>
                                      <w:szCs w:val="18"/>
                                    </w:rPr>
                                    <w:t xml:space="preserve"> 865-576-8401</w:t>
                                  </w:r>
                                </w:p>
                                <w:p w14:paraId="39196E51" w14:textId="77777777" w:rsidR="00C34949" w:rsidRPr="00C61E19" w:rsidRDefault="00C34949" w:rsidP="00C34949">
                                  <w:pPr>
                                    <w:jc w:val="both"/>
                                    <w:rPr>
                                      <w:rFonts w:ascii="Arial" w:hAnsi="Arial" w:cs="Arial"/>
                                      <w:sz w:val="18"/>
                                      <w:szCs w:val="18"/>
                                    </w:rPr>
                                  </w:pPr>
                                  <w:r w:rsidRPr="00C61E19">
                                    <w:rPr>
                                      <w:rFonts w:ascii="Arial" w:hAnsi="Arial" w:cs="Arial"/>
                                      <w:sz w:val="18"/>
                                      <w:szCs w:val="18"/>
                                    </w:rPr>
                                    <w:tab/>
                                  </w:r>
                                  <w:r w:rsidRPr="00C61E19">
                                    <w:rPr>
                                      <w:rFonts w:ascii="Arial" w:hAnsi="Arial" w:cs="Arial"/>
                                      <w:b/>
                                      <w:i/>
                                      <w:sz w:val="18"/>
                                      <w:szCs w:val="18"/>
                                    </w:rPr>
                                    <w:t>Fax</w:t>
                                  </w:r>
                                  <w:r w:rsidRPr="00C61E19">
                                    <w:rPr>
                                      <w:rFonts w:ascii="Arial" w:hAnsi="Arial" w:cs="Arial"/>
                                      <w:sz w:val="18"/>
                                      <w:szCs w:val="18"/>
                                    </w:rPr>
                                    <w:t xml:space="preserve"> 865-576-5728</w:t>
                                  </w:r>
                                </w:p>
                                <w:p w14:paraId="1FA9E089" w14:textId="77777777" w:rsidR="00C34949" w:rsidRPr="00C61E19" w:rsidRDefault="00C34949" w:rsidP="00C34949">
                                  <w:pPr>
                                    <w:jc w:val="both"/>
                                    <w:rPr>
                                      <w:rFonts w:ascii="Arial" w:hAnsi="Arial" w:cs="Arial"/>
                                      <w:sz w:val="18"/>
                                      <w:szCs w:val="18"/>
                                    </w:rPr>
                                  </w:pPr>
                                  <w:r w:rsidRPr="00C61E19">
                                    <w:rPr>
                                      <w:rFonts w:ascii="Arial" w:hAnsi="Arial" w:cs="Arial"/>
                                      <w:sz w:val="18"/>
                                      <w:szCs w:val="18"/>
                                    </w:rPr>
                                    <w:tab/>
                                  </w:r>
                                  <w:r w:rsidRPr="00C61E19">
                                    <w:rPr>
                                      <w:rFonts w:ascii="Arial" w:hAnsi="Arial" w:cs="Arial"/>
                                      <w:b/>
                                      <w:i/>
                                      <w:sz w:val="18"/>
                                      <w:szCs w:val="18"/>
                                    </w:rPr>
                                    <w:t>E-mail</w:t>
                                  </w:r>
                                  <w:r w:rsidRPr="00C61E19">
                                    <w:rPr>
                                      <w:rFonts w:ascii="Arial" w:hAnsi="Arial" w:cs="Arial"/>
                                      <w:sz w:val="18"/>
                                      <w:szCs w:val="18"/>
                                    </w:rPr>
                                    <w:t xml:space="preserve"> reports@osti.gov</w:t>
                                  </w:r>
                                </w:p>
                                <w:p w14:paraId="5317A9B5" w14:textId="77777777" w:rsidR="00C34949" w:rsidRDefault="00C34949" w:rsidP="00C34949">
                                  <w:pPr>
                                    <w:spacing w:after="40"/>
                                    <w:jc w:val="both"/>
                                    <w:rPr>
                                      <w:szCs w:val="22"/>
                                    </w:rPr>
                                  </w:pPr>
                                  <w:r w:rsidRPr="00C61E19">
                                    <w:rPr>
                                      <w:rFonts w:ascii="Arial" w:hAnsi="Arial" w:cs="Arial"/>
                                      <w:sz w:val="18"/>
                                      <w:szCs w:val="18"/>
                                    </w:rPr>
                                    <w:tab/>
                                  </w:r>
                                  <w:r w:rsidRPr="00C61E19">
                                    <w:rPr>
                                      <w:rFonts w:ascii="Arial" w:hAnsi="Arial" w:cs="Arial"/>
                                      <w:b/>
                                      <w:i/>
                                      <w:sz w:val="18"/>
                                      <w:szCs w:val="18"/>
                                    </w:rPr>
                                    <w:t>We</w:t>
                                  </w:r>
                                  <w:r w:rsidRPr="0020667B">
                                    <w:rPr>
                                      <w:rFonts w:ascii="Arial" w:hAnsi="Arial" w:cs="Arial"/>
                                      <w:b/>
                                      <w:i/>
                                      <w:sz w:val="18"/>
                                      <w:szCs w:val="18"/>
                                    </w:rPr>
                                    <w:t>bsite</w:t>
                                  </w:r>
                                  <w:r w:rsidRPr="0020667B">
                                    <w:rPr>
                                      <w:rFonts w:ascii="Arial" w:hAnsi="Arial" w:cs="Arial"/>
                                      <w:sz w:val="18"/>
                                      <w:szCs w:val="18"/>
                                    </w:rPr>
                                    <w:t xml:space="preserve"> </w:t>
                                  </w:r>
                                  <w:hyperlink r:id="rId13" w:history="1">
                                    <w:r w:rsidRPr="0020667B">
                                      <w:rPr>
                                        <w:rStyle w:val="Hyperlink"/>
                                        <w:rFonts w:ascii="Arial" w:hAnsi="Arial" w:cs="Arial"/>
                                        <w:sz w:val="18"/>
                                        <w:szCs w:val="18"/>
                                      </w:rPr>
                                      <w:t>https://www.osti.gov/</w:t>
                                    </w:r>
                                  </w:hyperlink>
                                  <w:r w:rsidRPr="0020667B">
                                    <w:rPr>
                                      <w:rFonts w:ascii="Arial" w:hAnsi="Arial" w:cs="Arial"/>
                                      <w:sz w:val="18"/>
                                      <w:szCs w:val="18"/>
                                    </w:rPr>
                                    <w:t xml:space="preserve"> </w:t>
                                  </w:r>
                                </w:p>
                              </w:tc>
                            </w:tr>
                          </w:tbl>
                          <w:p w14:paraId="3311C93D" w14:textId="77777777" w:rsidR="00C34949" w:rsidRPr="001C576F" w:rsidRDefault="00C34949" w:rsidP="00C34949"/>
                          <w:p w14:paraId="4C61F2F7" w14:textId="77777777" w:rsidR="0054472B" w:rsidRDefault="0054472B" w:rsidP="0054472B">
                            <w:pPr>
                              <w:rPr>
                                <w:rFonts w:ascii="Arial" w:hAnsi="Arial" w:cs="Arial"/>
                                <w:sz w:val="16"/>
                              </w:rPr>
                            </w:pPr>
                          </w:p>
                          <w:tbl>
                            <w:tblPr>
                              <w:tblW w:w="0" w:type="auto"/>
                              <w:jc w:val="center"/>
                              <w:tblLayout w:type="fixed"/>
                              <w:tblCellMar>
                                <w:left w:w="58" w:type="dxa"/>
                                <w:right w:w="58" w:type="dxa"/>
                              </w:tblCellMar>
                              <w:tblLook w:val="0000" w:firstRow="0" w:lastRow="0" w:firstColumn="0" w:lastColumn="0" w:noHBand="0" w:noVBand="0"/>
                            </w:tblPr>
                            <w:tblGrid>
                              <w:gridCol w:w="5760"/>
                            </w:tblGrid>
                            <w:tr w:rsidR="0054472B" w14:paraId="39236346" w14:textId="77777777" w:rsidTr="00B7228E">
                              <w:trPr>
                                <w:cantSplit/>
                                <w:jc w:val="center"/>
                              </w:trPr>
                              <w:tc>
                                <w:tcPr>
                                  <w:tcW w:w="5760" w:type="dxa"/>
                                  <w:tcBorders>
                                    <w:top w:val="single" w:sz="6" w:space="0" w:color="000000"/>
                                    <w:left w:val="single" w:sz="6" w:space="0" w:color="000000"/>
                                    <w:bottom w:val="single" w:sz="6" w:space="0" w:color="000000"/>
                                    <w:right w:val="single" w:sz="6" w:space="0" w:color="000000"/>
                                  </w:tcBorders>
                                </w:tcPr>
                                <w:p w14:paraId="64B2C458" w14:textId="77777777" w:rsidR="0054472B" w:rsidRPr="00C61E19" w:rsidRDefault="0054472B" w:rsidP="00B7228E">
                                  <w:pPr>
                                    <w:pStyle w:val="DISCLAIMER-short"/>
                                    <w:spacing w:before="40" w:after="40"/>
                                  </w:pPr>
                                  <w:r w:rsidRPr="00C61E19">
                                    <w:t>This report was prepared as an account of work sponsored by an agency of the United States Government. Neither the United States Government nor any agency thereof, nor any of their employees, makes any warranty, express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herein do not necessarily state or reflect those of the United States Government or any agency thereof.</w:t>
                                  </w:r>
                                </w:p>
                              </w:tc>
                            </w:tr>
                            <w:tr w:rsidR="0054472B" w14:paraId="4119B8BC" w14:textId="77777777" w:rsidTr="00B7228E">
                              <w:trPr>
                                <w:cantSplit/>
                                <w:jc w:val="center"/>
                              </w:trPr>
                              <w:tc>
                                <w:tcPr>
                                  <w:tcW w:w="5760" w:type="dxa"/>
                                  <w:tcBorders>
                                    <w:top w:val="single" w:sz="6" w:space="0" w:color="000000"/>
                                  </w:tcBorders>
                                </w:tcPr>
                                <w:p w14:paraId="1DA43F36" w14:textId="77777777" w:rsidR="0054472B" w:rsidRPr="00C61E19" w:rsidRDefault="0054472B" w:rsidP="00B7228E">
                                  <w:pPr>
                                    <w:pStyle w:val="DISCLAIMER-short"/>
                                  </w:pPr>
                                </w:p>
                              </w:tc>
                            </w:tr>
                          </w:tbl>
                          <w:p w14:paraId="12D0CE08" w14:textId="77777777" w:rsidR="0054472B" w:rsidRPr="00AE7C4C" w:rsidRDefault="0054472B" w:rsidP="0054472B">
                            <w:pPr>
                              <w:rPr>
                                <w:rFonts w:ascii="Arial" w:hAnsi="Arial" w:cs="Arial"/>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737A4D" id="_x0000_s1027" type="#_x0000_t202" style="position:absolute;margin-left:0;margin-top:0;width:460.05pt;height:507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" o:allowoverlap="f" filled="f" stroked="f">
                <v:textbox>
                  <w:txbxContent>
                    <w:p w14:paraId="30C25841" w14:textId="77777777" w:rsidR="0054472B" w:rsidRDefault="0054472B" w:rsidP="0054472B">
                      <w:pPr>
                        <w:rPr>
                          <w:rFonts w:ascii="Arial" w:hAnsi="Arial" w:cs="Arial"/>
                          <w:sz w:val="16"/>
                        </w:rPr>
                      </w:pPr>
                    </w:p>
                    <w:tbl>
                      <w:tblPr>
                        <w:tblW w:w="0" w:type="auto"/>
                        <w:jc w:val="center"/>
                        <w:tblLayout w:type="fixed"/>
                        <w:tblCellMar>
                          <w:left w:w="58" w:type="dxa"/>
                          <w:right w:w="58" w:type="dxa"/>
                        </w:tblCellMar>
                        <w:tblLook w:val="0000" w:firstRow="0" w:lastRow="0" w:firstColumn="0" w:lastColumn="0" w:noHBand="0" w:noVBand="0"/>
                      </w:tblPr>
                      <w:tblGrid>
                        <w:gridCol w:w="8075"/>
                      </w:tblGrid>
                      <w:tr w:rsidR="00C34949" w14:paraId="346F534D" w14:textId="77777777" w:rsidTr="009E2F14">
                        <w:trPr>
                          <w:cantSplit/>
                          <w:jc w:val="center"/>
                        </w:trPr>
                        <w:tc>
                          <w:tcPr>
                            <w:tcW w:w="8075" w:type="dxa"/>
                            <w:tcBorders>
                              <w:top w:val="single" w:sz="6" w:space="0" w:color="000000"/>
                              <w:left w:val="single" w:sz="6" w:space="0" w:color="000000"/>
                              <w:right w:val="single" w:sz="6" w:space="0" w:color="000000"/>
                            </w:tcBorders>
                          </w:tcPr>
                          <w:p w14:paraId="2AC075AE" w14:textId="77777777" w:rsidR="00C34949" w:rsidRPr="00C61E19" w:rsidRDefault="00C34949" w:rsidP="00C34949">
                            <w:pPr>
                              <w:spacing w:before="40" w:after="120"/>
                              <w:jc w:val="center"/>
                              <w:rPr>
                                <w:rFonts w:ascii="Arial" w:hAnsi="Arial" w:cs="Arial"/>
                                <w:b/>
                              </w:rPr>
                            </w:pPr>
                            <w:r w:rsidRPr="00C61E19">
                              <w:rPr>
                                <w:rFonts w:ascii="Arial" w:hAnsi="Arial" w:cs="Arial"/>
                                <w:b/>
                              </w:rPr>
                              <w:t>DOCUMENT AVAILABILITY</w:t>
                            </w:r>
                          </w:p>
                        </w:tc>
                      </w:tr>
                      <w:tr w:rsidR="00C34949" w14:paraId="4DD65899" w14:textId="77777777" w:rsidTr="009E2F14">
                        <w:trPr>
                          <w:cantSplit/>
                          <w:jc w:val="center"/>
                        </w:trPr>
                        <w:tc>
                          <w:tcPr>
                            <w:tcW w:w="8075" w:type="dxa"/>
                            <w:tcBorders>
                              <w:left w:val="single" w:sz="6" w:space="0" w:color="000000"/>
                              <w:bottom w:val="single" w:sz="6" w:space="0" w:color="000000"/>
                              <w:right w:val="single" w:sz="6" w:space="0" w:color="000000"/>
                            </w:tcBorders>
                          </w:tcPr>
                          <w:p w14:paraId="2DDB8891" w14:textId="77777777" w:rsidR="00C34949" w:rsidRPr="00C61E19" w:rsidRDefault="00C34949" w:rsidP="00C34949">
                            <w:pPr>
                              <w:jc w:val="both"/>
                              <w:rPr>
                                <w:rFonts w:ascii="Arial" w:hAnsi="Arial" w:cs="Arial"/>
                                <w:sz w:val="18"/>
                                <w:szCs w:val="18"/>
                              </w:rPr>
                            </w:pPr>
                            <w:r w:rsidRPr="00C61E19">
                              <w:rPr>
                                <w:rFonts w:ascii="Arial" w:hAnsi="Arial" w:cs="Arial"/>
                                <w:sz w:val="18"/>
                                <w:szCs w:val="18"/>
                              </w:rPr>
                              <w:t xml:space="preserve">Reports produced after January 1, 1996, are generally available free via </w:t>
                            </w:r>
                            <w:r>
                              <w:rPr>
                                <w:rFonts w:ascii="Arial" w:hAnsi="Arial" w:cs="Arial"/>
                                <w:sz w:val="18"/>
                                <w:szCs w:val="18"/>
                              </w:rPr>
                              <w:t>OSTI.GOV</w:t>
                            </w:r>
                            <w:r w:rsidRPr="00C61E19">
                              <w:rPr>
                                <w:rFonts w:ascii="Arial" w:hAnsi="Arial" w:cs="Arial"/>
                                <w:sz w:val="18"/>
                                <w:szCs w:val="18"/>
                              </w:rPr>
                              <w:t>.</w:t>
                            </w:r>
                          </w:p>
                          <w:p w14:paraId="5A12E31D" w14:textId="77777777" w:rsidR="00C34949" w:rsidRPr="00C61E19" w:rsidRDefault="00C34949" w:rsidP="00C34949">
                            <w:pPr>
                              <w:jc w:val="both"/>
                              <w:rPr>
                                <w:rFonts w:ascii="Arial" w:hAnsi="Arial" w:cs="Arial"/>
                                <w:sz w:val="18"/>
                                <w:szCs w:val="18"/>
                              </w:rPr>
                            </w:pPr>
                          </w:p>
                          <w:p w14:paraId="219FB178" w14:textId="77777777" w:rsidR="00C34949" w:rsidRPr="00BA5F19" w:rsidRDefault="00C34949" w:rsidP="00C34949">
                            <w:pPr>
                              <w:jc w:val="both"/>
                              <w:rPr>
                                <w:rFonts w:ascii="Arial" w:hAnsi="Arial" w:cs="Arial"/>
                                <w:sz w:val="18"/>
                                <w:szCs w:val="18"/>
                              </w:rPr>
                            </w:pPr>
                            <w:r w:rsidRPr="00C61E19">
                              <w:rPr>
                                <w:rFonts w:ascii="Arial" w:hAnsi="Arial" w:cs="Arial"/>
                                <w:sz w:val="18"/>
                                <w:szCs w:val="18"/>
                              </w:rPr>
                              <w:tab/>
                            </w:r>
                            <w:r w:rsidRPr="00C61E19">
                              <w:rPr>
                                <w:rFonts w:ascii="Arial" w:hAnsi="Arial" w:cs="Arial"/>
                                <w:b/>
                                <w:i/>
                                <w:sz w:val="18"/>
                                <w:szCs w:val="18"/>
                              </w:rPr>
                              <w:t>Websit</w:t>
                            </w:r>
                            <w:r w:rsidRPr="00BA5F19">
                              <w:rPr>
                                <w:rFonts w:ascii="Arial" w:hAnsi="Arial" w:cs="Arial"/>
                                <w:b/>
                                <w:i/>
                                <w:sz w:val="18"/>
                                <w:szCs w:val="18"/>
                              </w:rPr>
                              <w:t>e</w:t>
                            </w:r>
                            <w:r w:rsidRPr="00BA5F19">
                              <w:rPr>
                                <w:rFonts w:ascii="Arial" w:hAnsi="Arial" w:cs="Arial"/>
                                <w:sz w:val="18"/>
                                <w:szCs w:val="18"/>
                              </w:rPr>
                              <w:t xml:space="preserve"> </w:t>
                            </w:r>
                            <w:hyperlink r:id="rId14" w:history="1">
                              <w:r w:rsidRPr="00F94904">
                                <w:rPr>
                                  <w:rStyle w:val="Hyperlink"/>
                                  <w:rFonts w:ascii="Arial" w:hAnsi="Arial" w:cs="Arial"/>
                                  <w:sz w:val="18"/>
                                  <w:szCs w:val="18"/>
                                </w:rPr>
                                <w:t>www.osti.gov</w:t>
                              </w:r>
                            </w:hyperlink>
                          </w:p>
                          <w:p w14:paraId="06680B95" w14:textId="77777777" w:rsidR="00C34949" w:rsidRPr="00C61E19" w:rsidRDefault="00C34949" w:rsidP="00C34949">
                            <w:pPr>
                              <w:jc w:val="both"/>
                              <w:rPr>
                                <w:rFonts w:ascii="Arial" w:hAnsi="Arial" w:cs="Arial"/>
                                <w:sz w:val="18"/>
                                <w:szCs w:val="18"/>
                              </w:rPr>
                            </w:pPr>
                          </w:p>
                          <w:p w14:paraId="60911570" w14:textId="77777777" w:rsidR="00C34949" w:rsidRPr="00C61E19" w:rsidRDefault="00C34949" w:rsidP="00C34949">
                            <w:pPr>
                              <w:jc w:val="both"/>
                              <w:rPr>
                                <w:rFonts w:ascii="Arial" w:hAnsi="Arial" w:cs="Arial"/>
                                <w:sz w:val="18"/>
                                <w:szCs w:val="18"/>
                              </w:rPr>
                            </w:pPr>
                            <w:r w:rsidRPr="00C61E19">
                              <w:rPr>
                                <w:rFonts w:ascii="Arial" w:hAnsi="Arial" w:cs="Arial"/>
                                <w:sz w:val="18"/>
                                <w:szCs w:val="18"/>
                              </w:rPr>
                              <w:t>Reports produced before January 1, 1996, may be purchased by members of the public from the following source</w:t>
                            </w:r>
                            <w:r>
                              <w:rPr>
                                <w:rFonts w:ascii="Arial" w:hAnsi="Arial" w:cs="Arial"/>
                                <w:sz w:val="18"/>
                                <w:szCs w:val="18"/>
                              </w:rPr>
                              <w:t>:</w:t>
                            </w:r>
                          </w:p>
                          <w:p w14:paraId="38F06060" w14:textId="77777777" w:rsidR="00C34949" w:rsidRPr="00C61E19" w:rsidRDefault="00C34949" w:rsidP="00C34949">
                            <w:pPr>
                              <w:jc w:val="both"/>
                              <w:rPr>
                                <w:rFonts w:ascii="Arial" w:hAnsi="Arial" w:cs="Arial"/>
                                <w:sz w:val="18"/>
                                <w:szCs w:val="18"/>
                              </w:rPr>
                            </w:pPr>
                          </w:p>
                          <w:p w14:paraId="78AE11EC" w14:textId="77777777" w:rsidR="00C34949" w:rsidRPr="00C61E19" w:rsidRDefault="00C34949" w:rsidP="00C34949">
                            <w:pPr>
                              <w:jc w:val="both"/>
                              <w:rPr>
                                <w:rFonts w:ascii="Arial" w:hAnsi="Arial" w:cs="Arial"/>
                                <w:sz w:val="18"/>
                                <w:szCs w:val="18"/>
                              </w:rPr>
                            </w:pPr>
                            <w:r w:rsidRPr="00C61E19">
                              <w:rPr>
                                <w:rFonts w:ascii="Arial" w:hAnsi="Arial" w:cs="Arial"/>
                                <w:sz w:val="18"/>
                                <w:szCs w:val="18"/>
                              </w:rPr>
                              <w:tab/>
                              <w:t>National Technical Information Service</w:t>
                            </w:r>
                          </w:p>
                          <w:p w14:paraId="48F27CC6" w14:textId="77777777" w:rsidR="00C34949" w:rsidRPr="00C61E19" w:rsidRDefault="00C34949" w:rsidP="00C34949">
                            <w:pPr>
                              <w:jc w:val="both"/>
                              <w:rPr>
                                <w:rFonts w:ascii="Arial" w:hAnsi="Arial" w:cs="Arial"/>
                                <w:sz w:val="18"/>
                                <w:szCs w:val="18"/>
                              </w:rPr>
                            </w:pPr>
                            <w:r w:rsidRPr="00C61E19">
                              <w:rPr>
                                <w:rFonts w:ascii="Arial" w:hAnsi="Arial" w:cs="Arial"/>
                                <w:sz w:val="18"/>
                                <w:szCs w:val="18"/>
                              </w:rPr>
                              <w:tab/>
                              <w:t>5285 Port Royal Road</w:t>
                            </w:r>
                          </w:p>
                          <w:p w14:paraId="19A9A374" w14:textId="77777777" w:rsidR="00C34949" w:rsidRPr="00C61E19" w:rsidRDefault="00C34949" w:rsidP="00C34949">
                            <w:pPr>
                              <w:jc w:val="both"/>
                              <w:rPr>
                                <w:rFonts w:ascii="Arial" w:hAnsi="Arial" w:cs="Arial"/>
                                <w:sz w:val="18"/>
                                <w:szCs w:val="18"/>
                              </w:rPr>
                            </w:pPr>
                            <w:r w:rsidRPr="00C61E19">
                              <w:rPr>
                                <w:rFonts w:ascii="Arial" w:hAnsi="Arial" w:cs="Arial"/>
                                <w:sz w:val="18"/>
                                <w:szCs w:val="18"/>
                              </w:rPr>
                              <w:tab/>
                              <w:t>Springfield, VA 22161</w:t>
                            </w:r>
                          </w:p>
                          <w:p w14:paraId="1BF065B8" w14:textId="77777777" w:rsidR="00C34949" w:rsidRPr="00C61E19" w:rsidRDefault="00C34949" w:rsidP="00C34949">
                            <w:pPr>
                              <w:jc w:val="both"/>
                              <w:rPr>
                                <w:rFonts w:ascii="Arial" w:hAnsi="Arial" w:cs="Arial"/>
                                <w:sz w:val="18"/>
                                <w:szCs w:val="18"/>
                              </w:rPr>
                            </w:pPr>
                            <w:r w:rsidRPr="00C61E19">
                              <w:rPr>
                                <w:rFonts w:ascii="Arial" w:hAnsi="Arial" w:cs="Arial"/>
                                <w:sz w:val="18"/>
                                <w:szCs w:val="18"/>
                              </w:rPr>
                              <w:tab/>
                            </w:r>
                            <w:r w:rsidRPr="00C61E19">
                              <w:rPr>
                                <w:rFonts w:ascii="Arial" w:hAnsi="Arial" w:cs="Arial"/>
                                <w:b/>
                                <w:i/>
                                <w:sz w:val="18"/>
                                <w:szCs w:val="18"/>
                              </w:rPr>
                              <w:t>Telephone</w:t>
                            </w:r>
                            <w:r w:rsidRPr="00C61E19">
                              <w:rPr>
                                <w:rFonts w:ascii="Arial" w:hAnsi="Arial" w:cs="Arial"/>
                                <w:sz w:val="18"/>
                                <w:szCs w:val="18"/>
                              </w:rPr>
                              <w:t xml:space="preserve"> 703-605-6000 (1-800-553-6847)</w:t>
                            </w:r>
                          </w:p>
                          <w:p w14:paraId="707B0FBE" w14:textId="77777777" w:rsidR="00C34949" w:rsidRPr="00C61E19" w:rsidRDefault="00C34949" w:rsidP="00C34949">
                            <w:pPr>
                              <w:jc w:val="both"/>
                              <w:rPr>
                                <w:rFonts w:ascii="Arial" w:hAnsi="Arial" w:cs="Arial"/>
                                <w:sz w:val="18"/>
                                <w:szCs w:val="18"/>
                              </w:rPr>
                            </w:pPr>
                            <w:r w:rsidRPr="00C61E19">
                              <w:rPr>
                                <w:rFonts w:ascii="Arial" w:hAnsi="Arial" w:cs="Arial"/>
                                <w:sz w:val="18"/>
                                <w:szCs w:val="18"/>
                              </w:rPr>
                              <w:tab/>
                            </w:r>
                            <w:r w:rsidRPr="00C61E19">
                              <w:rPr>
                                <w:rFonts w:ascii="Arial" w:hAnsi="Arial" w:cs="Arial"/>
                                <w:b/>
                                <w:i/>
                                <w:sz w:val="18"/>
                                <w:szCs w:val="18"/>
                              </w:rPr>
                              <w:t>TDD</w:t>
                            </w:r>
                            <w:r w:rsidRPr="00C61E19">
                              <w:rPr>
                                <w:rFonts w:ascii="Arial" w:hAnsi="Arial" w:cs="Arial"/>
                                <w:sz w:val="18"/>
                                <w:szCs w:val="18"/>
                              </w:rPr>
                              <w:t xml:space="preserve"> 703-487-4639</w:t>
                            </w:r>
                          </w:p>
                          <w:p w14:paraId="3C17EC4D" w14:textId="77777777" w:rsidR="00C34949" w:rsidRPr="00C61E19" w:rsidRDefault="00C34949" w:rsidP="00C34949">
                            <w:pPr>
                              <w:jc w:val="both"/>
                              <w:rPr>
                                <w:rFonts w:ascii="Arial" w:hAnsi="Arial" w:cs="Arial"/>
                                <w:sz w:val="18"/>
                                <w:szCs w:val="18"/>
                              </w:rPr>
                            </w:pPr>
                            <w:r w:rsidRPr="00C61E19">
                              <w:rPr>
                                <w:rFonts w:ascii="Arial" w:hAnsi="Arial" w:cs="Arial"/>
                                <w:sz w:val="18"/>
                                <w:szCs w:val="18"/>
                              </w:rPr>
                              <w:tab/>
                            </w:r>
                            <w:r w:rsidRPr="00C61E19">
                              <w:rPr>
                                <w:rFonts w:ascii="Arial" w:hAnsi="Arial" w:cs="Arial"/>
                                <w:b/>
                                <w:i/>
                                <w:sz w:val="18"/>
                                <w:szCs w:val="18"/>
                              </w:rPr>
                              <w:t>Fax</w:t>
                            </w:r>
                            <w:r w:rsidRPr="00C61E19">
                              <w:rPr>
                                <w:rFonts w:ascii="Arial" w:hAnsi="Arial" w:cs="Arial"/>
                                <w:sz w:val="18"/>
                                <w:szCs w:val="18"/>
                              </w:rPr>
                              <w:t xml:space="preserve"> 703-605-6900</w:t>
                            </w:r>
                          </w:p>
                          <w:p w14:paraId="7CD11E9C" w14:textId="77777777" w:rsidR="00C34949" w:rsidRPr="00C61E19" w:rsidRDefault="00C34949" w:rsidP="00C34949">
                            <w:pPr>
                              <w:jc w:val="both"/>
                              <w:rPr>
                                <w:rFonts w:ascii="Arial" w:hAnsi="Arial" w:cs="Arial"/>
                                <w:sz w:val="18"/>
                                <w:szCs w:val="18"/>
                              </w:rPr>
                            </w:pPr>
                            <w:r w:rsidRPr="00C61E19">
                              <w:rPr>
                                <w:rFonts w:ascii="Arial" w:hAnsi="Arial" w:cs="Arial"/>
                                <w:sz w:val="18"/>
                                <w:szCs w:val="18"/>
                              </w:rPr>
                              <w:tab/>
                            </w:r>
                            <w:r w:rsidRPr="00C61E19">
                              <w:rPr>
                                <w:rFonts w:ascii="Arial" w:hAnsi="Arial" w:cs="Arial"/>
                                <w:b/>
                                <w:i/>
                                <w:sz w:val="18"/>
                                <w:szCs w:val="18"/>
                              </w:rPr>
                              <w:t>E-mail</w:t>
                            </w:r>
                            <w:r w:rsidRPr="00C61E19">
                              <w:rPr>
                                <w:rFonts w:ascii="Arial" w:hAnsi="Arial" w:cs="Arial"/>
                                <w:sz w:val="18"/>
                                <w:szCs w:val="18"/>
                              </w:rPr>
                              <w:t xml:space="preserve"> info@ntis.gov</w:t>
                            </w:r>
                          </w:p>
                          <w:p w14:paraId="7D90424D" w14:textId="77777777" w:rsidR="00C34949" w:rsidRPr="00AD2C24" w:rsidRDefault="00C34949" w:rsidP="00C34949">
                            <w:pPr>
                              <w:rPr>
                                <w:rFonts w:ascii="Arial" w:hAnsi="Arial" w:cs="Arial"/>
                                <w:sz w:val="18"/>
                                <w:szCs w:val="18"/>
                              </w:rPr>
                            </w:pPr>
                            <w:r w:rsidRPr="00F662A4">
                              <w:rPr>
                                <w:rFonts w:ascii="Arial" w:hAnsi="Arial" w:cs="Arial"/>
                                <w:sz w:val="18"/>
                                <w:szCs w:val="18"/>
                              </w:rPr>
                              <w:tab/>
                            </w:r>
                            <w:r w:rsidRPr="00F662A4">
                              <w:rPr>
                                <w:rFonts w:ascii="Arial" w:hAnsi="Arial" w:cs="Arial"/>
                                <w:b/>
                                <w:i/>
                                <w:sz w:val="18"/>
                                <w:szCs w:val="18"/>
                              </w:rPr>
                              <w:t>Web</w:t>
                            </w:r>
                            <w:r w:rsidRPr="00AD2C24">
                              <w:rPr>
                                <w:rFonts w:ascii="Arial" w:hAnsi="Arial" w:cs="Arial"/>
                                <w:b/>
                                <w:i/>
                                <w:sz w:val="18"/>
                                <w:szCs w:val="18"/>
                              </w:rPr>
                              <w:t>site</w:t>
                            </w:r>
                            <w:r w:rsidRPr="00AD2C24">
                              <w:rPr>
                                <w:rFonts w:ascii="Arial" w:hAnsi="Arial" w:cs="Arial"/>
                                <w:sz w:val="18"/>
                                <w:szCs w:val="18"/>
                              </w:rPr>
                              <w:t xml:space="preserve"> </w:t>
                            </w:r>
                            <w:hyperlink r:id="rId15" w:history="1">
                              <w:r w:rsidRPr="00AD2C24">
                                <w:rPr>
                                  <w:rStyle w:val="Hyperlink"/>
                                  <w:rFonts w:ascii="Arial" w:hAnsi="Arial" w:cs="Arial"/>
                                  <w:sz w:val="18"/>
                                  <w:szCs w:val="18"/>
                                </w:rPr>
                                <w:t>http://classic.ntis.gov/</w:t>
                              </w:r>
                            </w:hyperlink>
                          </w:p>
                          <w:p w14:paraId="224C7916" w14:textId="77777777" w:rsidR="00C34949" w:rsidRPr="00C61E19" w:rsidRDefault="00C34949" w:rsidP="00C34949">
                            <w:pPr>
                              <w:jc w:val="both"/>
                              <w:rPr>
                                <w:rFonts w:ascii="Arial" w:hAnsi="Arial" w:cs="Arial"/>
                                <w:sz w:val="18"/>
                                <w:szCs w:val="18"/>
                              </w:rPr>
                            </w:pPr>
                          </w:p>
                          <w:p w14:paraId="6ACE173B" w14:textId="77777777" w:rsidR="00C34949" w:rsidRPr="00C61E19" w:rsidRDefault="00C34949" w:rsidP="00C34949">
                            <w:pPr>
                              <w:jc w:val="both"/>
                              <w:rPr>
                                <w:rFonts w:ascii="Arial" w:hAnsi="Arial" w:cs="Arial"/>
                                <w:sz w:val="18"/>
                                <w:szCs w:val="18"/>
                              </w:rPr>
                            </w:pPr>
                            <w:r w:rsidRPr="00C61E19">
                              <w:rPr>
                                <w:rFonts w:ascii="Arial" w:hAnsi="Arial" w:cs="Arial"/>
                                <w:sz w:val="18"/>
                                <w:szCs w:val="18"/>
                              </w:rPr>
                              <w:t xml:space="preserve">Reports are available to </w:t>
                            </w:r>
                            <w:r>
                              <w:rPr>
                                <w:rFonts w:ascii="Arial" w:hAnsi="Arial" w:cs="Arial"/>
                                <w:sz w:val="18"/>
                                <w:szCs w:val="18"/>
                              </w:rPr>
                              <w:t>US Department of Energy (</w:t>
                            </w:r>
                            <w:r w:rsidRPr="00C61E19">
                              <w:rPr>
                                <w:rFonts w:ascii="Arial" w:hAnsi="Arial" w:cs="Arial"/>
                                <w:sz w:val="18"/>
                                <w:szCs w:val="18"/>
                              </w:rPr>
                              <w:t>DOE</w:t>
                            </w:r>
                            <w:r>
                              <w:rPr>
                                <w:rFonts w:ascii="Arial" w:hAnsi="Arial" w:cs="Arial"/>
                                <w:sz w:val="18"/>
                                <w:szCs w:val="18"/>
                              </w:rPr>
                              <w:t>)</w:t>
                            </w:r>
                            <w:r w:rsidRPr="00C61E19">
                              <w:rPr>
                                <w:rFonts w:ascii="Arial" w:hAnsi="Arial" w:cs="Arial"/>
                                <w:sz w:val="18"/>
                                <w:szCs w:val="18"/>
                              </w:rPr>
                              <w:t xml:space="preserve"> employees, DOE contractors, Energy Technology Data Exchange representatives, and International Nuclear Information System representa</w:t>
                            </w:r>
                            <w:r>
                              <w:rPr>
                                <w:rFonts w:ascii="Arial" w:hAnsi="Arial" w:cs="Arial"/>
                                <w:sz w:val="18"/>
                                <w:szCs w:val="18"/>
                              </w:rPr>
                              <w:t>tives from the following source:</w:t>
                            </w:r>
                          </w:p>
                          <w:p w14:paraId="7F5E3541" w14:textId="77777777" w:rsidR="00C34949" w:rsidRPr="00C61E19" w:rsidRDefault="00C34949" w:rsidP="00C34949">
                            <w:pPr>
                              <w:jc w:val="both"/>
                              <w:rPr>
                                <w:rFonts w:ascii="Arial" w:hAnsi="Arial" w:cs="Arial"/>
                                <w:sz w:val="18"/>
                                <w:szCs w:val="18"/>
                              </w:rPr>
                            </w:pPr>
                          </w:p>
                          <w:p w14:paraId="5C2E0482" w14:textId="77777777" w:rsidR="00C34949" w:rsidRPr="00C61E19" w:rsidRDefault="00C34949" w:rsidP="00C34949">
                            <w:pPr>
                              <w:jc w:val="both"/>
                              <w:rPr>
                                <w:rFonts w:ascii="Arial" w:hAnsi="Arial" w:cs="Arial"/>
                                <w:sz w:val="18"/>
                                <w:szCs w:val="18"/>
                              </w:rPr>
                            </w:pPr>
                            <w:r w:rsidRPr="00C61E19">
                              <w:rPr>
                                <w:rFonts w:ascii="Arial" w:hAnsi="Arial" w:cs="Arial"/>
                                <w:sz w:val="18"/>
                                <w:szCs w:val="18"/>
                              </w:rPr>
                              <w:tab/>
                              <w:t>Office of Scientific and Technical Information</w:t>
                            </w:r>
                          </w:p>
                          <w:p w14:paraId="6C6FDFD7" w14:textId="77777777" w:rsidR="00C34949" w:rsidRPr="00C61E19" w:rsidRDefault="00C34949" w:rsidP="00C34949">
                            <w:pPr>
                              <w:jc w:val="both"/>
                              <w:rPr>
                                <w:rFonts w:ascii="Arial" w:hAnsi="Arial" w:cs="Arial"/>
                                <w:sz w:val="18"/>
                                <w:szCs w:val="18"/>
                              </w:rPr>
                            </w:pPr>
                            <w:r w:rsidRPr="00C61E19">
                              <w:rPr>
                                <w:rFonts w:ascii="Arial" w:hAnsi="Arial" w:cs="Arial"/>
                                <w:sz w:val="18"/>
                                <w:szCs w:val="18"/>
                              </w:rPr>
                              <w:tab/>
                              <w:t>PO Box 62</w:t>
                            </w:r>
                          </w:p>
                          <w:p w14:paraId="1AEB3B89" w14:textId="77777777" w:rsidR="00C34949" w:rsidRPr="00C61E19" w:rsidRDefault="00C34949" w:rsidP="00C34949">
                            <w:pPr>
                              <w:jc w:val="both"/>
                              <w:rPr>
                                <w:rFonts w:ascii="Arial" w:hAnsi="Arial" w:cs="Arial"/>
                                <w:sz w:val="18"/>
                                <w:szCs w:val="18"/>
                              </w:rPr>
                            </w:pPr>
                            <w:r w:rsidRPr="00C61E19">
                              <w:rPr>
                                <w:rFonts w:ascii="Arial" w:hAnsi="Arial" w:cs="Arial"/>
                                <w:sz w:val="18"/>
                                <w:szCs w:val="18"/>
                              </w:rPr>
                              <w:tab/>
                              <w:t>Oak Ridge, TN 37831</w:t>
                            </w:r>
                          </w:p>
                          <w:p w14:paraId="4D57B722" w14:textId="77777777" w:rsidR="00C34949" w:rsidRPr="00C61E19" w:rsidRDefault="00C34949" w:rsidP="00C34949">
                            <w:pPr>
                              <w:jc w:val="both"/>
                              <w:rPr>
                                <w:rFonts w:ascii="Arial" w:hAnsi="Arial" w:cs="Arial"/>
                                <w:sz w:val="18"/>
                                <w:szCs w:val="18"/>
                              </w:rPr>
                            </w:pPr>
                            <w:r w:rsidRPr="00C61E19">
                              <w:rPr>
                                <w:rFonts w:ascii="Arial" w:hAnsi="Arial" w:cs="Arial"/>
                                <w:sz w:val="18"/>
                                <w:szCs w:val="18"/>
                              </w:rPr>
                              <w:tab/>
                            </w:r>
                            <w:r w:rsidRPr="00C61E19">
                              <w:rPr>
                                <w:rFonts w:ascii="Arial" w:hAnsi="Arial" w:cs="Arial"/>
                                <w:b/>
                                <w:i/>
                                <w:sz w:val="18"/>
                                <w:szCs w:val="18"/>
                              </w:rPr>
                              <w:t>Telephone</w:t>
                            </w:r>
                            <w:r w:rsidRPr="00C61E19">
                              <w:rPr>
                                <w:rFonts w:ascii="Arial" w:hAnsi="Arial" w:cs="Arial"/>
                                <w:sz w:val="18"/>
                                <w:szCs w:val="18"/>
                              </w:rPr>
                              <w:t xml:space="preserve"> 865-576-8401</w:t>
                            </w:r>
                          </w:p>
                          <w:p w14:paraId="39196E51" w14:textId="77777777" w:rsidR="00C34949" w:rsidRPr="00C61E19" w:rsidRDefault="00C34949" w:rsidP="00C34949">
                            <w:pPr>
                              <w:jc w:val="both"/>
                              <w:rPr>
                                <w:rFonts w:ascii="Arial" w:hAnsi="Arial" w:cs="Arial"/>
                                <w:sz w:val="18"/>
                                <w:szCs w:val="18"/>
                              </w:rPr>
                            </w:pPr>
                            <w:r w:rsidRPr="00C61E19">
                              <w:rPr>
                                <w:rFonts w:ascii="Arial" w:hAnsi="Arial" w:cs="Arial"/>
                                <w:sz w:val="18"/>
                                <w:szCs w:val="18"/>
                              </w:rPr>
                              <w:tab/>
                            </w:r>
                            <w:r w:rsidRPr="00C61E19">
                              <w:rPr>
                                <w:rFonts w:ascii="Arial" w:hAnsi="Arial" w:cs="Arial"/>
                                <w:b/>
                                <w:i/>
                                <w:sz w:val="18"/>
                                <w:szCs w:val="18"/>
                              </w:rPr>
                              <w:t>Fax</w:t>
                            </w:r>
                            <w:r w:rsidRPr="00C61E19">
                              <w:rPr>
                                <w:rFonts w:ascii="Arial" w:hAnsi="Arial" w:cs="Arial"/>
                                <w:sz w:val="18"/>
                                <w:szCs w:val="18"/>
                              </w:rPr>
                              <w:t xml:space="preserve"> 865-576-5728</w:t>
                            </w:r>
                          </w:p>
                          <w:p w14:paraId="1FA9E089" w14:textId="77777777" w:rsidR="00C34949" w:rsidRPr="00C61E19" w:rsidRDefault="00C34949" w:rsidP="00C34949">
                            <w:pPr>
                              <w:jc w:val="both"/>
                              <w:rPr>
                                <w:rFonts w:ascii="Arial" w:hAnsi="Arial" w:cs="Arial"/>
                                <w:sz w:val="18"/>
                                <w:szCs w:val="18"/>
                              </w:rPr>
                            </w:pPr>
                            <w:r w:rsidRPr="00C61E19">
                              <w:rPr>
                                <w:rFonts w:ascii="Arial" w:hAnsi="Arial" w:cs="Arial"/>
                                <w:sz w:val="18"/>
                                <w:szCs w:val="18"/>
                              </w:rPr>
                              <w:tab/>
                            </w:r>
                            <w:r w:rsidRPr="00C61E19">
                              <w:rPr>
                                <w:rFonts w:ascii="Arial" w:hAnsi="Arial" w:cs="Arial"/>
                                <w:b/>
                                <w:i/>
                                <w:sz w:val="18"/>
                                <w:szCs w:val="18"/>
                              </w:rPr>
                              <w:t>E-mail</w:t>
                            </w:r>
                            <w:r w:rsidRPr="00C61E19">
                              <w:rPr>
                                <w:rFonts w:ascii="Arial" w:hAnsi="Arial" w:cs="Arial"/>
                                <w:sz w:val="18"/>
                                <w:szCs w:val="18"/>
                              </w:rPr>
                              <w:t xml:space="preserve"> reports@osti.gov</w:t>
                            </w:r>
                          </w:p>
                          <w:p w14:paraId="5317A9B5" w14:textId="77777777" w:rsidR="00C34949" w:rsidRDefault="00C34949" w:rsidP="00C34949">
                            <w:pPr>
                              <w:spacing w:after="40"/>
                              <w:jc w:val="both"/>
                              <w:rPr>
                                <w:szCs w:val="22"/>
                              </w:rPr>
                            </w:pPr>
                            <w:r w:rsidRPr="00C61E19">
                              <w:rPr>
                                <w:rFonts w:ascii="Arial" w:hAnsi="Arial" w:cs="Arial"/>
                                <w:sz w:val="18"/>
                                <w:szCs w:val="18"/>
                              </w:rPr>
                              <w:tab/>
                            </w:r>
                            <w:r w:rsidRPr="00C61E19">
                              <w:rPr>
                                <w:rFonts w:ascii="Arial" w:hAnsi="Arial" w:cs="Arial"/>
                                <w:b/>
                                <w:i/>
                                <w:sz w:val="18"/>
                                <w:szCs w:val="18"/>
                              </w:rPr>
                              <w:t>We</w:t>
                            </w:r>
                            <w:r w:rsidRPr="0020667B">
                              <w:rPr>
                                <w:rFonts w:ascii="Arial" w:hAnsi="Arial" w:cs="Arial"/>
                                <w:b/>
                                <w:i/>
                                <w:sz w:val="18"/>
                                <w:szCs w:val="18"/>
                              </w:rPr>
                              <w:t>bsite</w:t>
                            </w:r>
                            <w:r w:rsidRPr="0020667B">
                              <w:rPr>
                                <w:rFonts w:ascii="Arial" w:hAnsi="Arial" w:cs="Arial"/>
                                <w:sz w:val="18"/>
                                <w:szCs w:val="18"/>
                              </w:rPr>
                              <w:t xml:space="preserve"> </w:t>
                            </w:r>
                            <w:hyperlink r:id="rId16" w:history="1">
                              <w:r w:rsidRPr="0020667B">
                                <w:rPr>
                                  <w:rStyle w:val="Hyperlink"/>
                                  <w:rFonts w:ascii="Arial" w:hAnsi="Arial" w:cs="Arial"/>
                                  <w:sz w:val="18"/>
                                  <w:szCs w:val="18"/>
                                </w:rPr>
                                <w:t>https://www.osti.gov/</w:t>
                              </w:r>
                            </w:hyperlink>
                            <w:r w:rsidRPr="0020667B">
                              <w:rPr>
                                <w:rFonts w:ascii="Arial" w:hAnsi="Arial" w:cs="Arial"/>
                                <w:sz w:val="18"/>
                                <w:szCs w:val="18"/>
                              </w:rPr>
                              <w:t xml:space="preserve"> </w:t>
                            </w:r>
                          </w:p>
                        </w:tc>
                      </w:tr>
                    </w:tbl>
                    <w:p w14:paraId="3311C93D" w14:textId="77777777" w:rsidR="00C34949" w:rsidRPr="001C576F" w:rsidRDefault="00C34949" w:rsidP="00C34949"/>
                    <w:p w14:paraId="4C61F2F7" w14:textId="77777777" w:rsidR="0054472B" w:rsidRDefault="0054472B" w:rsidP="0054472B">
                      <w:pPr>
                        <w:rPr>
                          <w:rFonts w:ascii="Arial" w:hAnsi="Arial" w:cs="Arial"/>
                          <w:sz w:val="16"/>
                        </w:rPr>
                      </w:pPr>
                    </w:p>
                    <w:tbl>
                      <w:tblPr>
                        <w:tblW w:w="0" w:type="auto"/>
                        <w:jc w:val="center"/>
                        <w:tblLayout w:type="fixed"/>
                        <w:tblCellMar>
                          <w:left w:w="58" w:type="dxa"/>
                          <w:right w:w="58" w:type="dxa"/>
                        </w:tblCellMar>
                        <w:tblLook w:val="0000" w:firstRow="0" w:lastRow="0" w:firstColumn="0" w:lastColumn="0" w:noHBand="0" w:noVBand="0"/>
                      </w:tblPr>
                      <w:tblGrid>
                        <w:gridCol w:w="5760"/>
                      </w:tblGrid>
                      <w:tr w:rsidR="0054472B" w14:paraId="39236346" w14:textId="77777777" w:rsidTr="00B7228E">
                        <w:trPr>
                          <w:cantSplit/>
                          <w:jc w:val="center"/>
                        </w:trPr>
                        <w:tc>
                          <w:tcPr>
                            <w:tcW w:w="5760" w:type="dxa"/>
                            <w:tcBorders>
                              <w:top w:val="single" w:sz="6" w:space="0" w:color="000000"/>
                              <w:left w:val="single" w:sz="6" w:space="0" w:color="000000"/>
                              <w:bottom w:val="single" w:sz="6" w:space="0" w:color="000000"/>
                              <w:right w:val="single" w:sz="6" w:space="0" w:color="000000"/>
                            </w:tcBorders>
                          </w:tcPr>
                          <w:p w14:paraId="64B2C458" w14:textId="77777777" w:rsidR="0054472B" w:rsidRPr="00C61E19" w:rsidRDefault="0054472B" w:rsidP="00B7228E">
                            <w:pPr>
                              <w:pStyle w:val="DISCLAIMER-short"/>
                              <w:spacing w:before="40" w:after="40"/>
                            </w:pPr>
                            <w:r w:rsidRPr="00C61E19">
                              <w:t>This report was prepared as an account of work sponsored by an agency of the United States Government. Neither the United States Government nor any agency thereof, nor any of their employees, makes any warranty, express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herein do not necessarily state or reflect those of the United States Government or any agency thereof.</w:t>
                            </w:r>
                          </w:p>
                        </w:tc>
                      </w:tr>
                      <w:tr w:rsidR="0054472B" w14:paraId="4119B8BC" w14:textId="77777777" w:rsidTr="00B7228E">
                        <w:trPr>
                          <w:cantSplit/>
                          <w:jc w:val="center"/>
                        </w:trPr>
                        <w:tc>
                          <w:tcPr>
                            <w:tcW w:w="5760" w:type="dxa"/>
                            <w:tcBorders>
                              <w:top w:val="single" w:sz="6" w:space="0" w:color="000000"/>
                            </w:tcBorders>
                          </w:tcPr>
                          <w:p w14:paraId="1DA43F36" w14:textId="77777777" w:rsidR="0054472B" w:rsidRPr="00C61E19" w:rsidRDefault="0054472B" w:rsidP="00B7228E">
                            <w:pPr>
                              <w:pStyle w:val="DISCLAIMER-short"/>
                            </w:pPr>
                          </w:p>
                        </w:tc>
                      </w:tr>
                    </w:tbl>
                    <w:p w14:paraId="12D0CE08" w14:textId="77777777" w:rsidR="0054472B" w:rsidRPr="00AE7C4C" w:rsidRDefault="0054472B" w:rsidP="0054472B">
                      <w:pPr>
                        <w:rPr>
                          <w:rFonts w:ascii="Arial" w:hAnsi="Arial" w:cs="Arial"/>
                          <w:sz w:val="16"/>
                        </w:rPr>
                      </w:pPr>
                    </w:p>
                  </w:txbxContent>
                </v:textbox>
                <w10:wrap anchorx="margin" anchory="margin"/>
                <w10:anchorlock/>
              </v:shape>
            </w:pict>
          </mc:Fallback>
        </mc:AlternateContent>
      </w:r>
    </w:p>
    <w:p w14:paraId="2DB34287" w14:textId="77777777" w:rsidR="0054472B" w:rsidRPr="00F0331E" w:rsidRDefault="0054472B" w:rsidP="0054472B">
      <w:pPr>
        <w:tabs>
          <w:tab w:val="left" w:pos="360"/>
        </w:tabs>
      </w:pPr>
    </w:p>
    <w:p w14:paraId="510C1327" w14:textId="77777777" w:rsidR="0054472B" w:rsidRDefault="0054472B" w:rsidP="0054472B">
      <w:pPr>
        <w:tabs>
          <w:tab w:val="left" w:pos="360"/>
        </w:tabs>
        <w:rPr>
          <w:i/>
        </w:rPr>
        <w:sectPr w:rsidR="0054472B" w:rsidSect="008E0A10">
          <w:footerReference w:type="default" r:id="rId17"/>
          <w:endnotePr>
            <w:numFmt w:val="decimal"/>
          </w:endnotePr>
          <w:pgSz w:w="12240" w:h="15840" w:code="1"/>
          <w:pgMar w:top="1440" w:right="1440" w:bottom="1440" w:left="1440" w:header="720" w:footer="720" w:gutter="0"/>
          <w:cols w:space="720"/>
          <w:noEndnote/>
        </w:sectPr>
      </w:pPr>
    </w:p>
    <w:p w14:paraId="57479E67" w14:textId="77777777" w:rsidR="0054472B" w:rsidRPr="009807BC" w:rsidRDefault="0054472B" w:rsidP="0054472B">
      <w:pPr>
        <w:pStyle w:val="Titlepage-reportnumber"/>
      </w:pPr>
      <w:r>
        <w:lastRenderedPageBreak/>
        <w:t>ORNL/LTR-XXXX</w:t>
      </w:r>
      <w:r w:rsidRPr="009807BC">
        <w:t>/</w:t>
      </w:r>
      <w:r>
        <w:t>XXX</w:t>
      </w:r>
    </w:p>
    <w:p w14:paraId="7194AA16" w14:textId="77777777" w:rsidR="0054472B" w:rsidRDefault="0054472B" w:rsidP="0054472B">
      <w:pPr>
        <w:tabs>
          <w:tab w:val="left" w:pos="360"/>
        </w:tabs>
        <w:jc w:val="center"/>
      </w:pPr>
    </w:p>
    <w:p w14:paraId="6F4DF192" w14:textId="77777777" w:rsidR="0054472B" w:rsidRDefault="0054472B" w:rsidP="0054472B">
      <w:pPr>
        <w:tabs>
          <w:tab w:val="left" w:pos="360"/>
        </w:tabs>
        <w:jc w:val="center"/>
      </w:pPr>
    </w:p>
    <w:p w14:paraId="1C395751" w14:textId="77777777" w:rsidR="0054472B" w:rsidRDefault="0054472B" w:rsidP="0054472B">
      <w:pPr>
        <w:tabs>
          <w:tab w:val="left" w:pos="360"/>
        </w:tabs>
        <w:jc w:val="center"/>
      </w:pPr>
    </w:p>
    <w:p w14:paraId="5ED779D8" w14:textId="77777777" w:rsidR="0054472B" w:rsidRDefault="0054472B" w:rsidP="0054472B">
      <w:pPr>
        <w:tabs>
          <w:tab w:val="left" w:pos="360"/>
        </w:tabs>
        <w:jc w:val="center"/>
      </w:pPr>
    </w:p>
    <w:p w14:paraId="0B6A2EE3" w14:textId="77777777" w:rsidR="0054472B" w:rsidRDefault="0054472B" w:rsidP="0054472B">
      <w:pPr>
        <w:pStyle w:val="Titlepage-Division"/>
      </w:pPr>
      <w:r>
        <w:t>Division or Program Name</w:t>
      </w:r>
    </w:p>
    <w:p w14:paraId="03955EA9" w14:textId="77777777" w:rsidR="0054472B" w:rsidRDefault="0054472B" w:rsidP="0054472B">
      <w:pPr>
        <w:tabs>
          <w:tab w:val="left" w:pos="360"/>
        </w:tabs>
        <w:jc w:val="center"/>
      </w:pPr>
    </w:p>
    <w:p w14:paraId="145D229C" w14:textId="77777777" w:rsidR="0054472B" w:rsidRDefault="0054472B" w:rsidP="0054472B">
      <w:pPr>
        <w:tabs>
          <w:tab w:val="left" w:pos="360"/>
        </w:tabs>
        <w:jc w:val="center"/>
      </w:pPr>
    </w:p>
    <w:p w14:paraId="54056A66" w14:textId="77777777" w:rsidR="0054472B" w:rsidRPr="004F668B" w:rsidRDefault="0054472B" w:rsidP="0054472B">
      <w:pPr>
        <w:tabs>
          <w:tab w:val="left" w:pos="360"/>
        </w:tabs>
        <w:jc w:val="center"/>
      </w:pPr>
    </w:p>
    <w:p w14:paraId="6ECFBFF1" w14:textId="77777777" w:rsidR="0054472B" w:rsidRDefault="0054472B" w:rsidP="0054472B">
      <w:pPr>
        <w:tabs>
          <w:tab w:val="left" w:pos="360"/>
        </w:tabs>
        <w:jc w:val="center"/>
      </w:pPr>
    </w:p>
    <w:p w14:paraId="3303682D" w14:textId="77777777" w:rsidR="0054472B" w:rsidRPr="004F668B" w:rsidRDefault="0054472B" w:rsidP="0054472B">
      <w:pPr>
        <w:tabs>
          <w:tab w:val="left" w:pos="360"/>
        </w:tabs>
        <w:jc w:val="center"/>
      </w:pPr>
    </w:p>
    <w:p w14:paraId="24C06848" w14:textId="77777777" w:rsidR="0054472B" w:rsidRPr="004F668B" w:rsidRDefault="0054472B" w:rsidP="0054472B">
      <w:pPr>
        <w:tabs>
          <w:tab w:val="left" w:pos="360"/>
        </w:tabs>
        <w:jc w:val="center"/>
      </w:pPr>
    </w:p>
    <w:p w14:paraId="046D5525" w14:textId="77777777" w:rsidR="0054472B" w:rsidRPr="004F668B" w:rsidRDefault="0054472B" w:rsidP="0054472B">
      <w:pPr>
        <w:tabs>
          <w:tab w:val="left" w:pos="360"/>
        </w:tabs>
        <w:jc w:val="center"/>
      </w:pPr>
    </w:p>
    <w:p w14:paraId="44D67270" w14:textId="601EC1FC" w:rsidR="0054472B" w:rsidRPr="004F668B" w:rsidRDefault="005647C4" w:rsidP="0054472B">
      <w:pPr>
        <w:tabs>
          <w:tab w:val="left" w:pos="360"/>
        </w:tabs>
        <w:jc w:val="center"/>
      </w:pPr>
      <w:r w:rsidRPr="005647C4">
        <w:rPr>
          <w:rFonts w:ascii="Times New Roman Bold" w:hAnsi="Times New Roman Bold"/>
          <w:b/>
          <w:caps/>
        </w:rPr>
        <w:t>SG-8 Critical Benchmark Rating System v1.0</w:t>
      </w:r>
    </w:p>
    <w:p w14:paraId="71F101BC" w14:textId="77777777" w:rsidR="0054472B" w:rsidRPr="004F668B" w:rsidRDefault="0054472B" w:rsidP="0054472B">
      <w:pPr>
        <w:tabs>
          <w:tab w:val="left" w:pos="360"/>
        </w:tabs>
        <w:jc w:val="center"/>
      </w:pPr>
    </w:p>
    <w:p w14:paraId="45DC7B56" w14:textId="6B2B2697" w:rsidR="0054472B" w:rsidRDefault="005647C4" w:rsidP="0054472B">
      <w:pPr>
        <w:pStyle w:val="Titlepage-authornames"/>
      </w:pPr>
      <w:r>
        <w:t>W. Wieselquist</w:t>
      </w:r>
    </w:p>
    <w:p w14:paraId="75B69BDC" w14:textId="1380230C" w:rsidR="005647C4" w:rsidRPr="004F668B" w:rsidRDefault="005647C4" w:rsidP="0054472B">
      <w:pPr>
        <w:pStyle w:val="Titlepage-authornames"/>
      </w:pPr>
      <w:r>
        <w:t>Next</w:t>
      </w:r>
    </w:p>
    <w:p w14:paraId="36747DC4" w14:textId="77777777" w:rsidR="0054472B" w:rsidRPr="004F668B" w:rsidRDefault="0054472B" w:rsidP="0054472B">
      <w:pPr>
        <w:tabs>
          <w:tab w:val="left" w:pos="360"/>
        </w:tabs>
        <w:jc w:val="center"/>
        <w:rPr>
          <w:b/>
        </w:rPr>
      </w:pPr>
    </w:p>
    <w:p w14:paraId="2E0994C8" w14:textId="77777777" w:rsidR="0054472B" w:rsidRPr="004F668B" w:rsidRDefault="0054472B" w:rsidP="0054472B">
      <w:pPr>
        <w:tabs>
          <w:tab w:val="left" w:pos="360"/>
        </w:tabs>
        <w:jc w:val="center"/>
        <w:rPr>
          <w:b/>
        </w:rPr>
      </w:pPr>
    </w:p>
    <w:p w14:paraId="409D888F" w14:textId="77777777" w:rsidR="0054472B" w:rsidRPr="004F668B" w:rsidRDefault="0054472B" w:rsidP="0054472B">
      <w:pPr>
        <w:tabs>
          <w:tab w:val="left" w:pos="360"/>
        </w:tabs>
        <w:jc w:val="center"/>
        <w:rPr>
          <w:b/>
        </w:rPr>
      </w:pPr>
    </w:p>
    <w:p w14:paraId="768CAFDC" w14:textId="77777777" w:rsidR="0054472B" w:rsidRPr="004F668B" w:rsidRDefault="0054472B" w:rsidP="0054472B">
      <w:pPr>
        <w:tabs>
          <w:tab w:val="left" w:pos="360"/>
        </w:tabs>
        <w:jc w:val="center"/>
        <w:rPr>
          <w:b/>
        </w:rPr>
      </w:pPr>
    </w:p>
    <w:p w14:paraId="0E4389EE" w14:textId="77777777" w:rsidR="0054472B" w:rsidRDefault="0054472B" w:rsidP="0054472B">
      <w:pPr>
        <w:tabs>
          <w:tab w:val="left" w:pos="360"/>
        </w:tabs>
        <w:jc w:val="center"/>
        <w:rPr>
          <w:b/>
        </w:rPr>
      </w:pPr>
    </w:p>
    <w:p w14:paraId="500F1E71" w14:textId="77777777" w:rsidR="0054472B" w:rsidRDefault="0054472B" w:rsidP="0054472B">
      <w:pPr>
        <w:tabs>
          <w:tab w:val="left" w:pos="360"/>
        </w:tabs>
        <w:jc w:val="center"/>
        <w:rPr>
          <w:b/>
        </w:rPr>
      </w:pPr>
    </w:p>
    <w:p w14:paraId="6F0FAA9E" w14:textId="77777777" w:rsidR="0054472B" w:rsidRDefault="0054472B" w:rsidP="0054472B">
      <w:pPr>
        <w:tabs>
          <w:tab w:val="left" w:pos="360"/>
        </w:tabs>
        <w:jc w:val="center"/>
        <w:rPr>
          <w:b/>
        </w:rPr>
      </w:pPr>
    </w:p>
    <w:p w14:paraId="471159DF" w14:textId="77777777" w:rsidR="0054472B" w:rsidRPr="004F668B" w:rsidRDefault="0054472B" w:rsidP="0054472B">
      <w:pPr>
        <w:tabs>
          <w:tab w:val="left" w:pos="360"/>
        </w:tabs>
        <w:jc w:val="center"/>
        <w:rPr>
          <w:b/>
        </w:rPr>
      </w:pPr>
    </w:p>
    <w:p w14:paraId="7FB19E31" w14:textId="77777777" w:rsidR="0054472B" w:rsidRPr="004F668B" w:rsidRDefault="0054472B" w:rsidP="0054472B">
      <w:pPr>
        <w:tabs>
          <w:tab w:val="left" w:pos="360"/>
        </w:tabs>
        <w:jc w:val="center"/>
      </w:pPr>
    </w:p>
    <w:p w14:paraId="5C0ECA5D" w14:textId="77777777" w:rsidR="0054472B" w:rsidRPr="004F668B" w:rsidRDefault="0054472B" w:rsidP="0054472B">
      <w:pPr>
        <w:tabs>
          <w:tab w:val="left" w:pos="360"/>
        </w:tabs>
        <w:jc w:val="center"/>
      </w:pPr>
    </w:p>
    <w:p w14:paraId="3E7648B2" w14:textId="5057D7A3" w:rsidR="0054472B" w:rsidRPr="004F668B" w:rsidRDefault="005647C4" w:rsidP="0054472B">
      <w:pPr>
        <w:pStyle w:val="Titlepage-date"/>
      </w:pPr>
      <w:r>
        <w:t>June</w:t>
      </w:r>
      <w:r w:rsidR="0054472B">
        <w:t xml:space="preserve"> </w:t>
      </w:r>
      <w:r>
        <w:t>2023</w:t>
      </w:r>
    </w:p>
    <w:p w14:paraId="5ACFB89E" w14:textId="77777777" w:rsidR="0054472B" w:rsidRPr="004F668B" w:rsidRDefault="0054472B" w:rsidP="0054472B">
      <w:pPr>
        <w:tabs>
          <w:tab w:val="left" w:pos="360"/>
        </w:tabs>
        <w:jc w:val="center"/>
      </w:pPr>
    </w:p>
    <w:p w14:paraId="6DEA6B13" w14:textId="77777777" w:rsidR="0054472B" w:rsidRPr="004F668B" w:rsidRDefault="0054472B" w:rsidP="0054472B">
      <w:pPr>
        <w:tabs>
          <w:tab w:val="left" w:pos="360"/>
        </w:tabs>
        <w:jc w:val="center"/>
      </w:pPr>
    </w:p>
    <w:p w14:paraId="551AA466" w14:textId="77777777" w:rsidR="0054472B" w:rsidRPr="004F668B" w:rsidRDefault="0054472B" w:rsidP="0054472B">
      <w:pPr>
        <w:tabs>
          <w:tab w:val="left" w:pos="360"/>
        </w:tabs>
        <w:jc w:val="center"/>
      </w:pPr>
    </w:p>
    <w:p w14:paraId="7A21B77D" w14:textId="77777777" w:rsidR="0054472B" w:rsidRDefault="0054472B" w:rsidP="0054472B">
      <w:pPr>
        <w:tabs>
          <w:tab w:val="left" w:pos="360"/>
        </w:tabs>
        <w:jc w:val="center"/>
      </w:pPr>
    </w:p>
    <w:p w14:paraId="7A893FD3" w14:textId="77777777" w:rsidR="0054472B" w:rsidRDefault="0054472B" w:rsidP="0054472B">
      <w:pPr>
        <w:tabs>
          <w:tab w:val="left" w:pos="360"/>
        </w:tabs>
        <w:jc w:val="center"/>
      </w:pPr>
    </w:p>
    <w:p w14:paraId="7E6286F2" w14:textId="77777777" w:rsidR="0054472B" w:rsidRDefault="0054472B" w:rsidP="0054472B">
      <w:pPr>
        <w:tabs>
          <w:tab w:val="left" w:pos="360"/>
        </w:tabs>
        <w:jc w:val="center"/>
      </w:pPr>
    </w:p>
    <w:p w14:paraId="24DFF783" w14:textId="77777777" w:rsidR="0054472B" w:rsidRPr="004F668B" w:rsidRDefault="0054472B" w:rsidP="0054472B">
      <w:pPr>
        <w:tabs>
          <w:tab w:val="left" w:pos="360"/>
        </w:tabs>
        <w:jc w:val="center"/>
      </w:pPr>
    </w:p>
    <w:p w14:paraId="3F273156" w14:textId="77777777" w:rsidR="0054472B" w:rsidRPr="004F668B" w:rsidRDefault="0054472B" w:rsidP="0054472B">
      <w:pPr>
        <w:tabs>
          <w:tab w:val="left" w:pos="360"/>
        </w:tabs>
        <w:jc w:val="center"/>
      </w:pPr>
    </w:p>
    <w:p w14:paraId="5D9C746D" w14:textId="77777777" w:rsidR="0054472B" w:rsidRPr="004F668B" w:rsidRDefault="0054472B" w:rsidP="0054472B">
      <w:pPr>
        <w:tabs>
          <w:tab w:val="left" w:pos="360"/>
        </w:tabs>
        <w:jc w:val="center"/>
      </w:pPr>
    </w:p>
    <w:p w14:paraId="562B5EAD" w14:textId="77777777" w:rsidR="0054472B" w:rsidRPr="004F668B" w:rsidRDefault="0054472B" w:rsidP="0054472B">
      <w:pPr>
        <w:tabs>
          <w:tab w:val="left" w:pos="360"/>
        </w:tabs>
        <w:jc w:val="center"/>
      </w:pPr>
    </w:p>
    <w:p w14:paraId="58DBEDF6" w14:textId="77777777" w:rsidR="0054472B" w:rsidRPr="004F668B" w:rsidRDefault="0054472B" w:rsidP="0054472B">
      <w:pPr>
        <w:pStyle w:val="Titlepage-date"/>
      </w:pPr>
      <w:r w:rsidRPr="004F668B">
        <w:t>Prepared by</w:t>
      </w:r>
    </w:p>
    <w:p w14:paraId="0844CB6A" w14:textId="77777777" w:rsidR="0054472B" w:rsidRPr="004F668B" w:rsidRDefault="0054472B" w:rsidP="0054472B">
      <w:pPr>
        <w:pStyle w:val="Titlepage-date"/>
      </w:pPr>
      <w:r w:rsidRPr="004F668B">
        <w:t>OAK RIDGE NATIONAL LABORATORY</w:t>
      </w:r>
    </w:p>
    <w:p w14:paraId="523C5B34" w14:textId="77777777" w:rsidR="0054472B" w:rsidRPr="004F668B" w:rsidRDefault="0054472B" w:rsidP="0054472B">
      <w:pPr>
        <w:pStyle w:val="Titlepage-date"/>
      </w:pPr>
      <w:r w:rsidRPr="004F668B">
        <w:t xml:space="preserve">Oak Ridge, </w:t>
      </w:r>
      <w:r>
        <w:t>TN</w:t>
      </w:r>
      <w:r w:rsidRPr="004F668B">
        <w:t xml:space="preserve"> 37831</w:t>
      </w:r>
    </w:p>
    <w:p w14:paraId="7083AE7B" w14:textId="77777777" w:rsidR="0054472B" w:rsidRPr="004F668B" w:rsidRDefault="0054472B" w:rsidP="0054472B">
      <w:pPr>
        <w:pStyle w:val="Titlepage-date"/>
      </w:pPr>
      <w:r w:rsidRPr="004F668B">
        <w:t>managed by</w:t>
      </w:r>
    </w:p>
    <w:p w14:paraId="06C9A7A9" w14:textId="77777777" w:rsidR="0054472B" w:rsidRPr="004F668B" w:rsidRDefault="0054472B" w:rsidP="0054472B">
      <w:pPr>
        <w:pStyle w:val="Titlepage-date"/>
      </w:pPr>
      <w:r w:rsidRPr="004F668B">
        <w:t>UT-BATTELLE LLC</w:t>
      </w:r>
    </w:p>
    <w:p w14:paraId="0131C55B" w14:textId="77777777" w:rsidR="0054472B" w:rsidRPr="004F668B" w:rsidRDefault="0054472B" w:rsidP="0054472B">
      <w:pPr>
        <w:pStyle w:val="Titlepage-date"/>
      </w:pPr>
      <w:r w:rsidRPr="004F668B">
        <w:t>for the</w:t>
      </w:r>
    </w:p>
    <w:p w14:paraId="6D6CE80E" w14:textId="77777777" w:rsidR="0054472B" w:rsidRPr="004F668B" w:rsidRDefault="0054472B" w:rsidP="0054472B">
      <w:pPr>
        <w:pStyle w:val="Titlepage-date"/>
      </w:pPr>
      <w:r>
        <w:t>US</w:t>
      </w:r>
      <w:r w:rsidRPr="004F668B">
        <w:t xml:space="preserve"> DEPARTMENT OF ENERGY</w:t>
      </w:r>
    </w:p>
    <w:p w14:paraId="060F638B" w14:textId="77777777" w:rsidR="0054472B" w:rsidRPr="004F668B" w:rsidRDefault="0054472B" w:rsidP="0054472B">
      <w:pPr>
        <w:pStyle w:val="Titlepage-date"/>
      </w:pPr>
      <w:r w:rsidRPr="004F668B">
        <w:t>under contract DE-AC05-00OR22725</w:t>
      </w:r>
    </w:p>
    <w:p w14:paraId="176A6D4B" w14:textId="77777777" w:rsidR="0054472B" w:rsidRDefault="0054472B" w:rsidP="0054472B">
      <w:pPr>
        <w:sectPr w:rsidR="0054472B" w:rsidSect="00447469">
          <w:headerReference w:type="default" r:id="rId18"/>
          <w:footerReference w:type="default" r:id="rId19"/>
          <w:endnotePr>
            <w:numFmt w:val="decimal"/>
          </w:endnotePr>
          <w:pgSz w:w="12240" w:h="15840" w:code="1"/>
          <w:pgMar w:top="1440" w:right="1440" w:bottom="1440" w:left="1440" w:header="720" w:footer="720" w:gutter="0"/>
          <w:cols w:space="720"/>
          <w:noEndnote/>
        </w:sectPr>
      </w:pPr>
    </w:p>
    <w:p w14:paraId="68EF86A6" w14:textId="77777777" w:rsidR="0054472B" w:rsidRDefault="0054472B" w:rsidP="0054472B"/>
    <w:p w14:paraId="480D752E" w14:textId="77777777" w:rsidR="0054472B" w:rsidRDefault="0054472B" w:rsidP="0054472B"/>
    <w:p w14:paraId="47554E9C" w14:textId="77777777" w:rsidR="0054472B" w:rsidRPr="004F668B" w:rsidRDefault="0054472B" w:rsidP="0054472B">
      <w:pPr>
        <w:jc w:val="center"/>
        <w:sectPr w:rsidR="0054472B" w:rsidRPr="004F668B" w:rsidSect="00447469">
          <w:footerReference w:type="default" r:id="rId20"/>
          <w:endnotePr>
            <w:numFmt w:val="decimal"/>
          </w:endnotePr>
          <w:pgSz w:w="12240" w:h="15840" w:code="1"/>
          <w:pgMar w:top="1440" w:right="1440" w:bottom="1440" w:left="1440" w:header="720" w:footer="720" w:gutter="0"/>
          <w:cols w:space="720"/>
          <w:noEndnote/>
        </w:sectPr>
      </w:pPr>
    </w:p>
    <w:p w14:paraId="2EB59BE7" w14:textId="77777777" w:rsidR="0054472B" w:rsidRDefault="0054472B" w:rsidP="0054472B">
      <w:pPr>
        <w:pStyle w:val="Heading1frontsections"/>
      </w:pPr>
      <w:bookmarkStart w:id="0" w:name="_Toc405445534"/>
      <w:r>
        <w:lastRenderedPageBreak/>
        <w:t>ABSTRACT</w:t>
      </w:r>
      <w:bookmarkEnd w:id="0"/>
    </w:p>
    <w:p w14:paraId="75634627" w14:textId="28766F18" w:rsidR="003355F4" w:rsidRDefault="003355F4" w:rsidP="009E7CDF">
      <w:pPr>
        <w:rPr>
          <w:rFonts w:eastAsiaTheme="minorEastAsia"/>
        </w:rPr>
      </w:pPr>
      <w:bookmarkStart w:id="1" w:name="_Toc405445535"/>
      <w:bookmarkStart w:id="2" w:name="_Toc202146549"/>
      <w:r w:rsidRPr="00880BF1">
        <w:rPr>
          <w:rFonts w:eastAsiaTheme="minorEastAsia"/>
        </w:rPr>
        <w:t xml:space="preserve">Over twenty-five years of benchmarking activity, the expectations and review rigor required for ICSBEP has evolved, the benchmarks are being used for unanticipated scenarios, tools and computational power exist to solve more complex problems, and new practitioners are entering the field. </w:t>
      </w:r>
      <w:r w:rsidRPr="003355F4">
        <w:rPr>
          <w:rFonts w:eastAsiaTheme="minorEastAsia"/>
        </w:rPr>
        <w:t>The</w:t>
      </w:r>
      <w:r w:rsidRPr="00880BF1">
        <w:rPr>
          <w:rFonts w:eastAsiaTheme="minorEastAsia"/>
        </w:rPr>
        <w:t xml:space="preserve"> </w:t>
      </w:r>
      <w:r w:rsidRPr="003355F4">
        <w:rPr>
          <w:rFonts w:eastAsiaTheme="minorEastAsia"/>
        </w:rPr>
        <w:t xml:space="preserve">OECD/NEA WPNCS Subgroup 8 </w:t>
      </w:r>
      <w:r w:rsidR="009E7CDF">
        <w:rPr>
          <w:rFonts w:eastAsiaTheme="minorEastAsia"/>
        </w:rPr>
        <w:t xml:space="preserve">(SG-8) </w:t>
      </w:r>
      <w:r w:rsidRPr="003355F4">
        <w:rPr>
          <w:rFonts w:eastAsiaTheme="minorEastAsia"/>
        </w:rPr>
        <w:t>has</w:t>
      </w:r>
      <w:r w:rsidRPr="00880BF1">
        <w:rPr>
          <w:rFonts w:eastAsiaTheme="minorEastAsia"/>
        </w:rPr>
        <w:t xml:space="preserve"> develop</w:t>
      </w:r>
      <w:r w:rsidRPr="003355F4">
        <w:rPr>
          <w:rFonts w:eastAsiaTheme="minorEastAsia"/>
        </w:rPr>
        <w:t>ed</w:t>
      </w:r>
      <w:r w:rsidRPr="00880BF1">
        <w:rPr>
          <w:rFonts w:eastAsiaTheme="minorEastAsia"/>
        </w:rPr>
        <w:t xml:space="preserve"> a </w:t>
      </w:r>
      <w:r w:rsidRPr="003355F4">
        <w:rPr>
          <w:rFonts w:eastAsiaTheme="minorEastAsia"/>
        </w:rPr>
        <w:t>critical benchmark rating system</w:t>
      </w:r>
      <w:r w:rsidRPr="00880BF1">
        <w:rPr>
          <w:rFonts w:eastAsiaTheme="minorEastAsia"/>
        </w:rPr>
        <w:t xml:space="preserve"> to </w:t>
      </w:r>
      <w:r w:rsidR="009E7CDF">
        <w:rPr>
          <w:rFonts w:eastAsiaTheme="minorEastAsia"/>
        </w:rPr>
        <w:t xml:space="preserve">collect, </w:t>
      </w:r>
      <w:r>
        <w:rPr>
          <w:rFonts w:eastAsiaTheme="minorEastAsia"/>
        </w:rPr>
        <w:t>preserve</w:t>
      </w:r>
      <w:r w:rsidR="009E7CDF">
        <w:rPr>
          <w:rFonts w:eastAsiaTheme="minorEastAsia"/>
        </w:rPr>
        <w:t>,</w:t>
      </w:r>
      <w:r>
        <w:rPr>
          <w:rFonts w:eastAsiaTheme="minorEastAsia"/>
        </w:rPr>
        <w:t xml:space="preserve"> and disseminate </w:t>
      </w:r>
      <w:r w:rsidR="009E7CDF" w:rsidRPr="00880BF1">
        <w:rPr>
          <w:rFonts w:eastAsiaTheme="minorEastAsia"/>
        </w:rPr>
        <w:t>expert knowledge and judgement regarding the suitability of ICSBEP evaluations to common uses such as modern code validation, nuclear data evaluation, and nuclear data adjustment.</w:t>
      </w:r>
    </w:p>
    <w:p w14:paraId="159730B5" w14:textId="77777777" w:rsidR="009E7CDF" w:rsidRPr="009E7CDF" w:rsidRDefault="009E7CDF" w:rsidP="009E7CDF"/>
    <w:bookmarkEnd w:id="1"/>
    <w:bookmarkEnd w:id="2"/>
    <w:p w14:paraId="689F9A1C" w14:textId="570C36D6" w:rsidR="0054472B" w:rsidRDefault="009E7CDF" w:rsidP="0054472B">
      <w:pPr>
        <w:pStyle w:val="Heading1"/>
        <w:numPr>
          <w:ilvl w:val="0"/>
          <w:numId w:val="1"/>
        </w:numPr>
        <w:ind w:left="0" w:firstLine="0"/>
        <w:rPr>
          <w:caps w:val="0"/>
        </w:rPr>
      </w:pPr>
      <w:r>
        <w:rPr>
          <w:caps w:val="0"/>
        </w:rPr>
        <w:t>INTRODUCTION</w:t>
      </w:r>
    </w:p>
    <w:p w14:paraId="39471EC1" w14:textId="27B11A06" w:rsidR="009E7CDF" w:rsidRDefault="009E7CDF" w:rsidP="009E7CDF">
      <w:pPr>
        <w:rPr>
          <w:rFonts w:eastAsiaTheme="minorEastAsia"/>
          <w:b/>
          <w:bCs/>
        </w:rPr>
      </w:pPr>
      <w:r w:rsidRPr="00880BF1">
        <w:rPr>
          <w:rFonts w:eastAsiaTheme="minorEastAsia"/>
        </w:rPr>
        <w:t>With the increasing rigor of the ICSBEP review process, there exists a disparity between earlier and modern benchmarks in terms of uncertainty quantification and more realistic modelling of the configurations. For example, earlier benchmarks may quote unrealistic uncertainties that are then used to set safety limits or assess nuclear data evaluations. Additionally, there are benchmarks that have clear consistency problems, internally across cases or compared to other, similar benchmarks.</w:t>
      </w:r>
      <w:r>
        <w:t xml:space="preserve"> As part of Subgroup 8 (SG-8), an activity was undertaken to </w:t>
      </w:r>
      <w:r w:rsidR="00000000" w:rsidRPr="00880BF1">
        <w:rPr>
          <w:rFonts w:eastAsiaTheme="minorEastAsia"/>
        </w:rPr>
        <w:t>outlin</w:t>
      </w:r>
      <w:r>
        <w:rPr>
          <w:rFonts w:eastAsiaTheme="minorEastAsia"/>
        </w:rPr>
        <w:t>e</w:t>
      </w:r>
      <w:r w:rsidR="00000000" w:rsidRPr="00880BF1">
        <w:rPr>
          <w:rFonts w:eastAsiaTheme="minorEastAsia"/>
        </w:rPr>
        <w:t xml:space="preserve"> a methodology for collecting and dissemin</w:t>
      </w:r>
      <w:r w:rsidR="00000000" w:rsidRPr="00880BF1">
        <w:rPr>
          <w:rFonts w:eastAsiaTheme="minorEastAsia"/>
        </w:rPr>
        <w:t>ating feedback on evaluations from qualified experts to better serve users of the ICSBEP benchmarks</w:t>
      </w:r>
      <w:r w:rsidR="00000000" w:rsidRPr="00880BF1">
        <w:rPr>
          <w:rFonts w:eastAsiaTheme="minorEastAsia"/>
          <w:b/>
          <w:bCs/>
        </w:rPr>
        <w:t xml:space="preserve">. </w:t>
      </w:r>
    </w:p>
    <w:p w14:paraId="01D5846F" w14:textId="73461D15" w:rsidR="009E7CDF" w:rsidRDefault="009E7CDF" w:rsidP="009E7CDF">
      <w:pPr>
        <w:rPr>
          <w:rFonts w:eastAsiaTheme="minorEastAsia"/>
          <w:b/>
          <w:bCs/>
        </w:rPr>
      </w:pPr>
    </w:p>
    <w:p w14:paraId="3C8B23E2" w14:textId="22E2A85A" w:rsidR="009E7CDF" w:rsidRDefault="009E7CDF" w:rsidP="009E7CDF">
      <w:pPr>
        <w:rPr>
          <w:rFonts w:eastAsiaTheme="minorEastAsia"/>
        </w:rPr>
      </w:pPr>
      <w:r>
        <w:rPr>
          <w:rFonts w:eastAsiaTheme="minorEastAsia"/>
        </w:rPr>
        <w:t>ICSBEP benchmarks are used throughout the nuclear engineering community in such areas as code and/or data validation, nuclear data evaluation, nuclear data adjustment, and bias estimation. As a result of SG-8, it was agreed upon by the authors to focus on the following for an additional rating system.</w:t>
      </w:r>
    </w:p>
    <w:p w14:paraId="6AA04B8A" w14:textId="77777777" w:rsidR="009E7CDF" w:rsidRDefault="009E7CDF" w:rsidP="009E7CDF">
      <w:pPr>
        <w:rPr>
          <w:rFonts w:eastAsiaTheme="minorEastAsia"/>
        </w:rPr>
      </w:pPr>
    </w:p>
    <w:p w14:paraId="5083249C" w14:textId="23991C6B" w:rsidR="004443CD" w:rsidRPr="004443CD" w:rsidRDefault="00000000" w:rsidP="009E7CDF">
      <w:pPr>
        <w:numPr>
          <w:ilvl w:val="0"/>
          <w:numId w:val="18"/>
        </w:numPr>
      </w:pPr>
      <w:r w:rsidRPr="004443CD">
        <w:rPr>
          <w:rFonts w:eastAsiaTheme="minorEastAsia"/>
        </w:rPr>
        <w:t>Transfer knowledge from individual criticality safety experts to the rest of</w:t>
      </w:r>
      <w:r w:rsidR="009E7CDF">
        <w:rPr>
          <w:rFonts w:eastAsiaTheme="minorEastAsia"/>
        </w:rPr>
        <w:t xml:space="preserve"> the community.</w:t>
      </w:r>
    </w:p>
    <w:p w14:paraId="52204704" w14:textId="77777777" w:rsidR="004443CD" w:rsidRPr="004443CD" w:rsidRDefault="00000000" w:rsidP="009E7CDF">
      <w:pPr>
        <w:numPr>
          <w:ilvl w:val="1"/>
          <w:numId w:val="18"/>
        </w:numPr>
      </w:pPr>
      <w:r w:rsidRPr="004443CD">
        <w:rPr>
          <w:rFonts w:eastAsiaTheme="minorEastAsia"/>
        </w:rPr>
        <w:t>not anonymous</w:t>
      </w:r>
    </w:p>
    <w:p w14:paraId="3B515632" w14:textId="77777777" w:rsidR="004443CD" w:rsidRPr="004443CD" w:rsidRDefault="00000000" w:rsidP="009E7CDF">
      <w:pPr>
        <w:numPr>
          <w:ilvl w:val="1"/>
          <w:numId w:val="18"/>
        </w:numPr>
      </w:pPr>
      <w:r w:rsidRPr="004443CD">
        <w:rPr>
          <w:rFonts w:eastAsiaTheme="minorEastAsia"/>
        </w:rPr>
        <w:t xml:space="preserve">not </w:t>
      </w:r>
      <w:r w:rsidRPr="004443CD">
        <w:rPr>
          <w:rFonts w:eastAsiaTheme="minorEastAsia"/>
        </w:rPr>
        <w:t>by institution</w:t>
      </w:r>
    </w:p>
    <w:p w14:paraId="3A648BAA" w14:textId="5A91B9FE" w:rsidR="004443CD" w:rsidRPr="004443CD" w:rsidRDefault="00000000" w:rsidP="009E7CDF">
      <w:pPr>
        <w:numPr>
          <w:ilvl w:val="0"/>
          <w:numId w:val="18"/>
        </w:numPr>
      </w:pPr>
      <w:r w:rsidRPr="004443CD">
        <w:rPr>
          <w:rFonts w:eastAsiaTheme="minorEastAsia"/>
        </w:rPr>
        <w:t>Conveys benchmark usefulness in a straightforward way</w:t>
      </w:r>
      <w:r w:rsidR="009E7CDF">
        <w:rPr>
          <w:rFonts w:eastAsiaTheme="minorEastAsia"/>
        </w:rPr>
        <w:t>.</w:t>
      </w:r>
    </w:p>
    <w:p w14:paraId="3E4EC7E2" w14:textId="77777777" w:rsidR="004443CD" w:rsidRPr="004443CD" w:rsidRDefault="00000000" w:rsidP="009E7CDF">
      <w:pPr>
        <w:numPr>
          <w:ilvl w:val="1"/>
          <w:numId w:val="18"/>
        </w:numPr>
      </w:pPr>
      <w:r w:rsidRPr="004443CD">
        <w:rPr>
          <w:rFonts w:eastAsiaTheme="minorEastAsia"/>
        </w:rPr>
        <w:t>accessible to novices</w:t>
      </w:r>
    </w:p>
    <w:p w14:paraId="0AB913BF" w14:textId="76DB4566" w:rsidR="004443CD" w:rsidRPr="004443CD" w:rsidRDefault="009E7CDF" w:rsidP="009E7CDF">
      <w:pPr>
        <w:numPr>
          <w:ilvl w:val="1"/>
          <w:numId w:val="18"/>
        </w:numPr>
      </w:pPr>
      <w:r>
        <w:rPr>
          <w:rFonts w:eastAsiaTheme="minorEastAsia"/>
        </w:rPr>
        <w:t>can be integrated with other processes</w:t>
      </w:r>
    </w:p>
    <w:p w14:paraId="79373EA8" w14:textId="0FC2F9DE" w:rsidR="004443CD" w:rsidRPr="004443CD" w:rsidRDefault="00000000" w:rsidP="009E7CDF">
      <w:pPr>
        <w:numPr>
          <w:ilvl w:val="0"/>
          <w:numId w:val="18"/>
        </w:numPr>
      </w:pPr>
      <w:r w:rsidRPr="004443CD">
        <w:rPr>
          <w:rFonts w:eastAsiaTheme="minorEastAsia"/>
        </w:rPr>
        <w:t xml:space="preserve">Focus on how </w:t>
      </w:r>
      <w:r w:rsidRPr="004443CD">
        <w:rPr>
          <w:rFonts w:eastAsiaTheme="minorEastAsia"/>
          <w:b/>
          <w:bCs/>
        </w:rPr>
        <w:t xml:space="preserve">confident </w:t>
      </w:r>
      <w:r w:rsidRPr="004443CD">
        <w:rPr>
          <w:rFonts w:eastAsiaTheme="minorEastAsia"/>
        </w:rPr>
        <w:t>we are that a benchmark</w:t>
      </w:r>
      <w:r w:rsidRPr="004443CD">
        <w:rPr>
          <w:rFonts w:eastAsiaTheme="minorEastAsia"/>
          <w:b/>
          <w:bCs/>
        </w:rPr>
        <w:t xml:space="preserve"> </w:t>
      </w:r>
      <w:r w:rsidR="00721DB7">
        <w:rPr>
          <w:rFonts w:eastAsiaTheme="minorEastAsia"/>
        </w:rPr>
        <w:t>is useful to</w:t>
      </w:r>
      <w:r w:rsidRPr="004443CD">
        <w:rPr>
          <w:rFonts w:eastAsiaTheme="minorEastAsia"/>
        </w:rPr>
        <w:t xml:space="preserve"> </w:t>
      </w:r>
      <w:r w:rsidRPr="004443CD">
        <w:rPr>
          <w:rFonts w:eastAsiaTheme="minorEastAsia"/>
          <w:b/>
          <w:bCs/>
        </w:rPr>
        <w:t xml:space="preserve">validate </w:t>
      </w:r>
      <w:r w:rsidR="009E7CDF">
        <w:rPr>
          <w:rFonts w:eastAsiaTheme="minorEastAsia"/>
          <w:b/>
          <w:bCs/>
        </w:rPr>
        <w:t>codes and data.</w:t>
      </w:r>
    </w:p>
    <w:p w14:paraId="78362700" w14:textId="77777777" w:rsidR="009E7CDF" w:rsidRDefault="009E7CDF" w:rsidP="009E7CDF">
      <w:pPr>
        <w:rPr>
          <w:rFonts w:eastAsiaTheme="minorEastAsia"/>
        </w:rPr>
      </w:pPr>
    </w:p>
    <w:p w14:paraId="45482F7A" w14:textId="446B90B2" w:rsidR="009E7CDF" w:rsidRDefault="00A40BC6" w:rsidP="009E7CDF">
      <w:pPr>
        <w:rPr>
          <w:rFonts w:eastAsiaTheme="minorEastAsia"/>
        </w:rPr>
      </w:pPr>
      <w:r>
        <w:rPr>
          <w:rFonts w:eastAsiaTheme="minorEastAsia"/>
        </w:rPr>
        <w:t xml:space="preserve">There may be additional revisions in the future, for example, to potentially allow ratings from automated processes, such as AI or ML-generated reviews. These will need to be managed carefully as the original goal of the subgroup was to </w:t>
      </w:r>
      <w:r w:rsidRPr="00880BF1">
        <w:rPr>
          <w:rFonts w:eastAsiaTheme="minorEastAsia"/>
        </w:rPr>
        <w:t>preserve</w:t>
      </w:r>
      <w:r>
        <w:rPr>
          <w:rFonts w:eastAsiaTheme="minorEastAsia"/>
        </w:rPr>
        <w:t xml:space="preserve"> human</w:t>
      </w:r>
      <w:r w:rsidRPr="00880BF1">
        <w:rPr>
          <w:rFonts w:eastAsiaTheme="minorEastAsia"/>
        </w:rPr>
        <w:t xml:space="preserve"> expert knowledge</w:t>
      </w:r>
      <w:r>
        <w:rPr>
          <w:rFonts w:eastAsiaTheme="minorEastAsia"/>
        </w:rPr>
        <w:t>.</w:t>
      </w:r>
    </w:p>
    <w:p w14:paraId="6A79C9A2" w14:textId="77777777" w:rsidR="00A40BC6" w:rsidRPr="00880BF1" w:rsidRDefault="00A40BC6" w:rsidP="009E7CDF">
      <w:pPr>
        <w:rPr>
          <w:rFonts w:eastAsiaTheme="minorEastAsia"/>
        </w:rPr>
      </w:pPr>
    </w:p>
    <w:p w14:paraId="4FE7258C" w14:textId="1CE2C9B2" w:rsidR="00A40BC6" w:rsidRDefault="00C5611D" w:rsidP="00A40BC6">
      <w:pPr>
        <w:pStyle w:val="Heading1"/>
        <w:numPr>
          <w:ilvl w:val="0"/>
          <w:numId w:val="1"/>
        </w:numPr>
        <w:ind w:left="0" w:firstLine="0"/>
        <w:rPr>
          <w:caps w:val="0"/>
        </w:rPr>
      </w:pPr>
      <w:r>
        <w:rPr>
          <w:caps w:val="0"/>
        </w:rPr>
        <w:t xml:space="preserve">V1.0 </w:t>
      </w:r>
      <w:r w:rsidR="00A40BC6">
        <w:rPr>
          <w:caps w:val="0"/>
        </w:rPr>
        <w:t>RATING SYSTEM DESCRIPTION</w:t>
      </w:r>
    </w:p>
    <w:p w14:paraId="3F078761" w14:textId="32C06D5E" w:rsidR="00917C2E" w:rsidRDefault="00A40BC6" w:rsidP="009E7CDF">
      <w:pPr>
        <w:rPr>
          <w:szCs w:val="22"/>
        </w:rPr>
      </w:pPr>
      <w:r>
        <w:t xml:space="preserve">Ratings are collected in an Excel spreadsheet shown in </w:t>
      </w:r>
      <w:r w:rsidR="00917C2E">
        <w:fldChar w:fldCharType="begin"/>
      </w:r>
      <w:r w:rsidR="00917C2E">
        <w:instrText xml:space="preserve"> REF _Ref133830612 \h </w:instrText>
      </w:r>
      <w:r w:rsidR="00917C2E">
        <w:fldChar w:fldCharType="separate"/>
      </w:r>
      <w:r w:rsidR="00917C2E">
        <w:t xml:space="preserve">Figure </w:t>
      </w:r>
      <w:r w:rsidR="00917C2E">
        <w:rPr>
          <w:noProof/>
        </w:rPr>
        <w:t>1</w:t>
      </w:r>
      <w:r w:rsidR="00917C2E">
        <w:fldChar w:fldCharType="end"/>
      </w:r>
      <w:r w:rsidR="00917C2E">
        <w:t xml:space="preserve">. </w:t>
      </w:r>
      <w:r w:rsidR="00917C2E">
        <w:t xml:space="preserve">The </w:t>
      </w:r>
      <w:r w:rsidR="0096772E">
        <w:t>assessor’s</w:t>
      </w:r>
      <w:r w:rsidR="00917C2E">
        <w:t xml:space="preserve"> </w:t>
      </w:r>
      <w:r w:rsidR="00917C2E">
        <w:t xml:space="preserve">name is entered once near the top. The spreadsheet is periodically re-populated with every existing ICSBEP benchmark so that the </w:t>
      </w:r>
      <w:r w:rsidR="00917C2E" w:rsidRPr="009235CF">
        <w:rPr>
          <w:sz w:val="22"/>
          <w:szCs w:val="22"/>
        </w:rPr>
        <w:t>assessor can simply filter and enter data for their specific cases using the remaining fields</w:t>
      </w:r>
      <w:r w:rsidR="007A582D">
        <w:rPr>
          <w:szCs w:val="22"/>
        </w:rPr>
        <w:t>.</w:t>
      </w:r>
    </w:p>
    <w:p w14:paraId="36D44F68" w14:textId="77777777" w:rsidR="007A582D" w:rsidRPr="009235CF" w:rsidRDefault="007A582D" w:rsidP="009E7CDF">
      <w:pPr>
        <w:rPr>
          <w:sz w:val="22"/>
          <w:szCs w:val="22"/>
        </w:rPr>
      </w:pPr>
    </w:p>
    <w:p w14:paraId="61BC65EF" w14:textId="4066714C" w:rsidR="00917C2E" w:rsidRPr="009235CF" w:rsidRDefault="00917C2E" w:rsidP="009235CF">
      <w:pPr>
        <w:pStyle w:val="ListParagraph"/>
      </w:pPr>
      <w:r w:rsidRPr="009235CF">
        <w:rPr>
          <w:b/>
          <w:bCs/>
        </w:rPr>
        <w:lastRenderedPageBreak/>
        <w:t>Add Cases</w:t>
      </w:r>
      <w:r w:rsidRPr="009235CF">
        <w:t>: enter a comma-separated list, range, or ‘ALL’ for the cases for which the rating applies</w:t>
      </w:r>
      <w:r w:rsidR="00425352">
        <w:t>.</w:t>
      </w:r>
    </w:p>
    <w:p w14:paraId="50F8BF4E" w14:textId="1348EDDC" w:rsidR="00917C2E" w:rsidRPr="009235CF" w:rsidRDefault="00917C2E" w:rsidP="009235CF">
      <w:pPr>
        <w:pStyle w:val="ListParagraph"/>
      </w:pPr>
      <w:r w:rsidRPr="009235CF">
        <w:rPr>
          <w:b/>
          <w:bCs/>
        </w:rPr>
        <w:t>Rating</w:t>
      </w:r>
      <w:r w:rsidRPr="009235CF">
        <w:t>: the numeric rating 1</w:t>
      </w:r>
      <w:r w:rsidR="009B2487">
        <w:t>-</w:t>
      </w:r>
      <w:r w:rsidRPr="009235CF">
        <w:t>4</w:t>
      </w:r>
      <w:r w:rsidR="00425352">
        <w:t>.</w:t>
      </w:r>
    </w:p>
    <w:p w14:paraId="4A331C5B" w14:textId="35153505" w:rsidR="00917C2E" w:rsidRPr="009235CF" w:rsidRDefault="00917C2E" w:rsidP="009235CF">
      <w:pPr>
        <w:pStyle w:val="ListParagraph"/>
      </w:pPr>
      <w:r w:rsidRPr="009235CF">
        <w:rPr>
          <w:b/>
          <w:bCs/>
        </w:rPr>
        <w:t>Issue Keys</w:t>
      </w:r>
      <w:r w:rsidR="009B2487">
        <w:t xml:space="preserve"> </w:t>
      </w:r>
      <w:r w:rsidRPr="009235CF">
        <w:t>(optional)</w:t>
      </w:r>
      <w:r w:rsidR="009B2487">
        <w:t xml:space="preserve">: </w:t>
      </w:r>
      <w:r w:rsidR="009B2487" w:rsidRPr="009235CF">
        <w:t>specific issues</w:t>
      </w:r>
      <w:r w:rsidR="000E4B44">
        <w:t xml:space="preserve"> summarized with a key</w:t>
      </w:r>
      <w:r w:rsidR="00425352">
        <w:t>.</w:t>
      </w:r>
    </w:p>
    <w:p w14:paraId="111AC103" w14:textId="13B96200" w:rsidR="00917C2E" w:rsidRPr="009235CF" w:rsidRDefault="00917C2E" w:rsidP="009235CF">
      <w:pPr>
        <w:pStyle w:val="ListParagraph"/>
      </w:pPr>
      <w:r w:rsidRPr="009235CF">
        <w:rPr>
          <w:b/>
          <w:bCs/>
        </w:rPr>
        <w:t>Improvements Recommended</w:t>
      </w:r>
      <w:r w:rsidRPr="009235CF">
        <w:t xml:space="preserve"> (optional)</w:t>
      </w:r>
    </w:p>
    <w:p w14:paraId="4A9A82F5" w14:textId="5946CFBF" w:rsidR="00917C2E" w:rsidRDefault="00917C2E" w:rsidP="009235CF">
      <w:pPr>
        <w:pStyle w:val="ListParagraph"/>
      </w:pPr>
      <w:r w:rsidRPr="009235CF">
        <w:rPr>
          <w:b/>
          <w:bCs/>
        </w:rPr>
        <w:t>Additional Notes</w:t>
      </w:r>
      <w:r w:rsidRPr="009235CF">
        <w:t xml:space="preserve"> (optional)</w:t>
      </w:r>
    </w:p>
    <w:p w14:paraId="5616E117" w14:textId="77777777" w:rsidR="007A582D" w:rsidRDefault="007A582D" w:rsidP="007D22EC"/>
    <w:p w14:paraId="0E48458E" w14:textId="6A398373" w:rsidR="007D22EC" w:rsidRDefault="007D22EC" w:rsidP="007D22EC">
      <w:r>
        <w:t xml:space="preserve">Note that </w:t>
      </w:r>
      <w:r w:rsidR="0016111F">
        <w:t>all cases are present in the spreadsheet and one can enter a general rating for a range or ‘ALL’ for any case and then a specific rating for a specific case and the processing will take care of the difference.</w:t>
      </w:r>
      <w:r w:rsidR="005A6F64">
        <w:t xml:space="preserve"> For version 1.0, three issue keys have been declared. They are not mutually exclusive and a single case could have all three issues. If there is an issue with the benchmark model, such as an inconsistency, incorrect value, or even unjustifiably complex, can be indicated with an ‘M’. A revision that corrects ‘M’ issues may be a low cost way to improve benchmark. A benchmark that shows a large bias that leads to loss of utility for validation can be denoted with a ‘B’. Finally, a benchmark where uncertainty is either significantly under or over-estimated or has missing components can be denoted with a ’U’.</w:t>
      </w:r>
    </w:p>
    <w:p w14:paraId="469F97A1" w14:textId="77777777" w:rsidR="005A6F64" w:rsidRDefault="005A6F64" w:rsidP="007D22EC"/>
    <w:p w14:paraId="0CCD4993" w14:textId="1A5C765D" w:rsidR="00A40BC6" w:rsidRDefault="00A40BC6" w:rsidP="009E7CDF">
      <w:r w:rsidRPr="00A40BC6">
        <w:drawing>
          <wp:inline distT="0" distB="0" distL="0" distR="0" wp14:anchorId="6835902B" wp14:editId="242323E2">
            <wp:extent cx="5943600" cy="2757170"/>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21"/>
                    <a:stretch>
                      <a:fillRect/>
                    </a:stretch>
                  </pic:blipFill>
                  <pic:spPr>
                    <a:xfrm>
                      <a:off x="0" y="0"/>
                      <a:ext cx="5951924" cy="2761031"/>
                    </a:xfrm>
                    <a:prstGeom prst="rect">
                      <a:avLst/>
                    </a:prstGeom>
                  </pic:spPr>
                </pic:pic>
              </a:graphicData>
            </a:graphic>
          </wp:inline>
        </w:drawing>
      </w:r>
    </w:p>
    <w:p w14:paraId="030202A4" w14:textId="48B04132" w:rsidR="00A40BC6" w:rsidRDefault="00A40BC6" w:rsidP="00917C2E">
      <w:pPr>
        <w:pStyle w:val="Caption"/>
        <w:jc w:val="center"/>
      </w:pPr>
      <w:bookmarkStart w:id="3" w:name="_Ref133830612"/>
      <w:r>
        <w:t xml:space="preserve">Figure </w:t>
      </w:r>
      <w:fldSimple w:instr=" SEQ Figure \* ARABIC ">
        <w:r>
          <w:rPr>
            <w:noProof/>
          </w:rPr>
          <w:t>1</w:t>
        </w:r>
      </w:fldSimple>
      <w:bookmarkEnd w:id="3"/>
      <w:r>
        <w:t>: Screenshot of v1.0 of the collection form</w:t>
      </w:r>
      <w:r w:rsidR="00917C2E">
        <w:t>.</w:t>
      </w:r>
    </w:p>
    <w:p w14:paraId="0EBF9F0C" w14:textId="75F359E4" w:rsidR="00D75826" w:rsidRDefault="00B00C0F" w:rsidP="00D75826">
      <w:pPr>
        <w:pStyle w:val="Heading1"/>
        <w:numPr>
          <w:ilvl w:val="0"/>
          <w:numId w:val="1"/>
        </w:numPr>
        <w:ind w:left="0" w:firstLine="0"/>
        <w:rPr>
          <w:caps w:val="0"/>
        </w:rPr>
      </w:pPr>
      <w:r>
        <w:rPr>
          <w:caps w:val="0"/>
        </w:rPr>
        <w:t>EXAMPLES</w:t>
      </w:r>
    </w:p>
    <w:p w14:paraId="38327F8F" w14:textId="33B7A409" w:rsidR="002B48D7" w:rsidRDefault="00D75826" w:rsidP="00D75826">
      <w:r>
        <w:t xml:space="preserve">The following </w:t>
      </w:r>
      <w:r w:rsidR="002B48D7">
        <w:t>table (</w:t>
      </w:r>
      <w:r w:rsidR="009D6CAF">
        <w:fldChar w:fldCharType="begin"/>
      </w:r>
      <w:r w:rsidR="009D6CAF">
        <w:instrText xml:space="preserve"> REF _Ref133833203 \h </w:instrText>
      </w:r>
      <w:r w:rsidR="009D6CAF">
        <w:fldChar w:fldCharType="separate"/>
      </w:r>
      <w:r w:rsidR="009D6CAF">
        <w:t xml:space="preserve">Table </w:t>
      </w:r>
      <w:r w:rsidR="009D6CAF">
        <w:rPr>
          <w:noProof/>
        </w:rPr>
        <w:t>1</w:t>
      </w:r>
      <w:r w:rsidR="009D6CAF">
        <w:fldChar w:fldCharType="end"/>
      </w:r>
      <w:r w:rsidR="002B48D7">
        <w:t xml:space="preserve">) shows examples of </w:t>
      </w:r>
      <w:r w:rsidR="009D6CAF">
        <w:t>feedback entries. Note that the detailed improvements recommended and additional notes are of particular utility for the goal of knowledge preservation.</w:t>
      </w:r>
    </w:p>
    <w:p w14:paraId="2EB35E55" w14:textId="77777777" w:rsidR="002B48D7" w:rsidRDefault="002B48D7" w:rsidP="00D75826"/>
    <w:p w14:paraId="76BC69FD" w14:textId="77777777" w:rsidR="002B48D7" w:rsidRDefault="002B48D7" w:rsidP="00D75826"/>
    <w:p w14:paraId="369CF340" w14:textId="77777777" w:rsidR="002B48D7" w:rsidRDefault="002B48D7" w:rsidP="00D75826"/>
    <w:p w14:paraId="52FE4EC7" w14:textId="77777777" w:rsidR="002B48D7" w:rsidRDefault="002B48D7" w:rsidP="00D75826"/>
    <w:p w14:paraId="6D9A5EA5" w14:textId="77777777" w:rsidR="002B48D7" w:rsidRDefault="002B48D7" w:rsidP="00D75826"/>
    <w:p w14:paraId="38A96C67" w14:textId="77777777" w:rsidR="002B48D7" w:rsidRDefault="002B48D7" w:rsidP="00D75826"/>
    <w:p w14:paraId="4D65219B" w14:textId="77777777" w:rsidR="002B48D7" w:rsidRDefault="002B48D7" w:rsidP="00D75826"/>
    <w:p w14:paraId="5DC19DCC" w14:textId="77777777" w:rsidR="002B48D7" w:rsidRDefault="002B48D7" w:rsidP="00D75826"/>
    <w:p w14:paraId="1D13FC76" w14:textId="77777777" w:rsidR="002B48D7" w:rsidRDefault="002B48D7" w:rsidP="00D75826"/>
    <w:p w14:paraId="11EDD1D3" w14:textId="77777777" w:rsidR="002B48D7" w:rsidRDefault="002B48D7" w:rsidP="00D75826"/>
    <w:p w14:paraId="2C8EF3B9" w14:textId="7E5CE872" w:rsidR="00D75826" w:rsidRPr="00D75826" w:rsidRDefault="002B48D7" w:rsidP="009D6CAF">
      <w:pPr>
        <w:pStyle w:val="Caption"/>
        <w:jc w:val="center"/>
      </w:pPr>
      <w:bookmarkStart w:id="4" w:name="_Ref133833203"/>
      <w:r>
        <w:t xml:space="preserve">Table </w:t>
      </w:r>
      <w:fldSimple w:instr=" SEQ Table \* ARABIC ">
        <w:r>
          <w:rPr>
            <w:noProof/>
          </w:rPr>
          <w:t>1</w:t>
        </w:r>
      </w:fldSimple>
      <w:bookmarkEnd w:id="4"/>
      <w:r>
        <w:t>: Example</w:t>
      </w:r>
      <w:r w:rsidR="009D6CAF">
        <w:t xml:space="preserve"> feedback entries.</w:t>
      </w:r>
    </w:p>
    <w:tbl>
      <w:tblPr>
        <w:tblW w:w="9360" w:type="dxa"/>
        <w:tblInd w:w="-5" w:type="dxa"/>
        <w:tblLayout w:type="fixed"/>
        <w:tblLook w:val="04A0" w:firstRow="1" w:lastRow="0" w:firstColumn="1" w:lastColumn="0" w:noHBand="0" w:noVBand="1"/>
      </w:tblPr>
      <w:tblGrid>
        <w:gridCol w:w="1350"/>
        <w:gridCol w:w="1620"/>
        <w:gridCol w:w="450"/>
        <w:gridCol w:w="540"/>
        <w:gridCol w:w="450"/>
        <w:gridCol w:w="450"/>
        <w:gridCol w:w="1980"/>
        <w:gridCol w:w="2520"/>
      </w:tblGrid>
      <w:tr w:rsidR="00D42E41" w:rsidRPr="00B00C0F" w14:paraId="2DF9D7A0" w14:textId="77777777" w:rsidTr="00D75826">
        <w:trPr>
          <w:trHeight w:val="740"/>
        </w:trPr>
        <w:tc>
          <w:tcPr>
            <w:tcW w:w="1350" w:type="dxa"/>
            <w:tcBorders>
              <w:top w:val="single" w:sz="4" w:space="0" w:color="auto"/>
              <w:left w:val="single" w:sz="4" w:space="0" w:color="auto"/>
              <w:bottom w:val="single" w:sz="4" w:space="0" w:color="auto"/>
              <w:right w:val="single" w:sz="4" w:space="0" w:color="auto"/>
            </w:tcBorders>
            <w:shd w:val="clear" w:color="F3F3F3" w:fill="F3F3F3"/>
            <w:tcMar>
              <w:left w:w="0" w:type="dxa"/>
              <w:right w:w="0" w:type="dxa"/>
            </w:tcMar>
            <w:vAlign w:val="center"/>
            <w:hideMark/>
          </w:tcPr>
          <w:p w14:paraId="29B7162E" w14:textId="77777777" w:rsidR="00B00C0F" w:rsidRPr="00B00C0F" w:rsidRDefault="00B00C0F" w:rsidP="00D42E41">
            <w:pPr>
              <w:jc w:val="center"/>
              <w:rPr>
                <w:rFonts w:ascii="Arial" w:hAnsi="Arial" w:cs="Arial"/>
                <w:b/>
                <w:bCs/>
                <w:color w:val="0B5394"/>
                <w:sz w:val="12"/>
                <w:szCs w:val="12"/>
              </w:rPr>
            </w:pPr>
            <w:r w:rsidRPr="00B00C0F">
              <w:rPr>
                <w:rFonts w:ascii="Arial" w:hAnsi="Arial" w:cs="Arial"/>
                <w:b/>
                <w:bCs/>
                <w:color w:val="0B5394"/>
                <w:sz w:val="12"/>
                <w:szCs w:val="12"/>
              </w:rPr>
              <w:t>Identifier</w:t>
            </w:r>
          </w:p>
        </w:tc>
        <w:tc>
          <w:tcPr>
            <w:tcW w:w="1620" w:type="dxa"/>
            <w:tcBorders>
              <w:top w:val="single" w:sz="4" w:space="0" w:color="auto"/>
              <w:left w:val="single" w:sz="4" w:space="0" w:color="auto"/>
              <w:bottom w:val="single" w:sz="4" w:space="0" w:color="auto"/>
              <w:right w:val="single" w:sz="4" w:space="0" w:color="auto"/>
            </w:tcBorders>
            <w:shd w:val="clear" w:color="F3F3F3" w:fill="F3F3F3"/>
            <w:tcMar>
              <w:left w:w="0" w:type="dxa"/>
              <w:right w:w="0" w:type="dxa"/>
            </w:tcMar>
            <w:vAlign w:val="center"/>
            <w:hideMark/>
          </w:tcPr>
          <w:p w14:paraId="6FDAA745" w14:textId="77777777" w:rsidR="00B00C0F" w:rsidRPr="00B00C0F" w:rsidRDefault="00B00C0F" w:rsidP="00D42E41">
            <w:pPr>
              <w:jc w:val="center"/>
              <w:rPr>
                <w:rFonts w:ascii="Arial" w:hAnsi="Arial" w:cs="Arial"/>
                <w:b/>
                <w:bCs/>
                <w:color w:val="0B5394"/>
                <w:sz w:val="12"/>
                <w:szCs w:val="12"/>
              </w:rPr>
            </w:pPr>
            <w:r w:rsidRPr="00B00C0F">
              <w:rPr>
                <w:rFonts w:ascii="Arial" w:hAnsi="Arial" w:cs="Arial"/>
                <w:b/>
                <w:bCs/>
                <w:color w:val="0B5394"/>
                <w:sz w:val="12"/>
                <w:szCs w:val="12"/>
              </w:rPr>
              <w:t>Case</w:t>
            </w:r>
          </w:p>
        </w:tc>
        <w:tc>
          <w:tcPr>
            <w:tcW w:w="450" w:type="dxa"/>
            <w:tcBorders>
              <w:top w:val="single" w:sz="4" w:space="0" w:color="auto"/>
              <w:left w:val="single" w:sz="4" w:space="0" w:color="auto"/>
              <w:bottom w:val="single" w:sz="4" w:space="0" w:color="auto"/>
              <w:right w:val="single" w:sz="4" w:space="0" w:color="auto"/>
            </w:tcBorders>
            <w:shd w:val="clear" w:color="F3F3F3" w:fill="F3F3F3"/>
            <w:tcMar>
              <w:left w:w="0" w:type="dxa"/>
              <w:right w:w="0" w:type="dxa"/>
            </w:tcMar>
            <w:vAlign w:val="center"/>
            <w:hideMark/>
          </w:tcPr>
          <w:p w14:paraId="324FE3A0" w14:textId="35C78CA9" w:rsidR="00B00C0F" w:rsidRPr="00B00C0F" w:rsidRDefault="00B00C0F" w:rsidP="00D42E41">
            <w:pPr>
              <w:jc w:val="center"/>
              <w:rPr>
                <w:rFonts w:ascii="Arial" w:hAnsi="Arial" w:cs="Arial"/>
                <w:b/>
                <w:bCs/>
                <w:color w:val="0B5394"/>
                <w:sz w:val="12"/>
                <w:szCs w:val="12"/>
              </w:rPr>
            </w:pPr>
            <w:r w:rsidRPr="00B00C0F">
              <w:rPr>
                <w:rFonts w:ascii="Arial" w:hAnsi="Arial" w:cs="Arial"/>
                <w:b/>
                <w:bCs/>
                <w:color w:val="0B5394"/>
                <w:sz w:val="12"/>
                <w:szCs w:val="12"/>
              </w:rPr>
              <w:t>Rev</w:t>
            </w:r>
          </w:p>
        </w:tc>
        <w:tc>
          <w:tcPr>
            <w:tcW w:w="540" w:type="dxa"/>
            <w:tcBorders>
              <w:top w:val="single" w:sz="4" w:space="0" w:color="auto"/>
              <w:left w:val="single" w:sz="4" w:space="0" w:color="auto"/>
              <w:bottom w:val="single" w:sz="4" w:space="0" w:color="auto"/>
              <w:right w:val="single" w:sz="4" w:space="0" w:color="auto"/>
            </w:tcBorders>
            <w:shd w:val="clear" w:color="8E7CC3" w:fill="8E7CC3"/>
            <w:tcMar>
              <w:left w:w="0" w:type="dxa"/>
              <w:right w:w="0" w:type="dxa"/>
            </w:tcMar>
            <w:vAlign w:val="center"/>
            <w:hideMark/>
          </w:tcPr>
          <w:p w14:paraId="3DDC37C8" w14:textId="2512F96C" w:rsidR="00B00C0F" w:rsidRPr="00B00C0F" w:rsidRDefault="00B00C0F" w:rsidP="00D42E41">
            <w:pPr>
              <w:jc w:val="center"/>
              <w:rPr>
                <w:rFonts w:ascii="Arial" w:hAnsi="Arial" w:cs="Arial"/>
                <w:b/>
                <w:bCs/>
                <w:color w:val="FFFFFF"/>
                <w:sz w:val="12"/>
                <w:szCs w:val="12"/>
              </w:rPr>
            </w:pPr>
            <w:r w:rsidRPr="00B00C0F">
              <w:rPr>
                <w:rFonts w:ascii="Arial" w:hAnsi="Arial" w:cs="Arial"/>
                <w:b/>
                <w:bCs/>
                <w:color w:val="FFFFFF"/>
                <w:sz w:val="12"/>
                <w:szCs w:val="12"/>
              </w:rPr>
              <w:t>Add Cases</w:t>
            </w:r>
          </w:p>
        </w:tc>
        <w:tc>
          <w:tcPr>
            <w:tcW w:w="450" w:type="dxa"/>
            <w:tcBorders>
              <w:top w:val="single" w:sz="4" w:space="0" w:color="auto"/>
              <w:left w:val="single" w:sz="4" w:space="0" w:color="auto"/>
              <w:bottom w:val="single" w:sz="4" w:space="0" w:color="auto"/>
              <w:right w:val="single" w:sz="4" w:space="0" w:color="auto"/>
            </w:tcBorders>
            <w:shd w:val="clear" w:color="8E7CC3" w:fill="8E7CC3"/>
            <w:tcMar>
              <w:left w:w="0" w:type="dxa"/>
              <w:right w:w="0" w:type="dxa"/>
            </w:tcMar>
            <w:vAlign w:val="center"/>
            <w:hideMark/>
          </w:tcPr>
          <w:p w14:paraId="4454D883" w14:textId="77777777" w:rsidR="00B00C0F" w:rsidRPr="00B00C0F" w:rsidRDefault="00B00C0F" w:rsidP="00D42E41">
            <w:pPr>
              <w:jc w:val="center"/>
              <w:rPr>
                <w:rFonts w:ascii="Arial" w:hAnsi="Arial" w:cs="Arial"/>
                <w:b/>
                <w:bCs/>
                <w:color w:val="FFFFFF"/>
                <w:sz w:val="12"/>
                <w:szCs w:val="12"/>
              </w:rPr>
            </w:pPr>
            <w:r w:rsidRPr="00B00C0F">
              <w:rPr>
                <w:rFonts w:ascii="Arial" w:hAnsi="Arial" w:cs="Arial"/>
                <w:b/>
                <w:bCs/>
                <w:color w:val="FFFFFF"/>
                <w:sz w:val="12"/>
                <w:szCs w:val="12"/>
              </w:rPr>
              <w:t>Rating</w:t>
            </w:r>
          </w:p>
        </w:tc>
        <w:tc>
          <w:tcPr>
            <w:tcW w:w="450" w:type="dxa"/>
            <w:tcBorders>
              <w:top w:val="single" w:sz="4" w:space="0" w:color="auto"/>
              <w:left w:val="single" w:sz="4" w:space="0" w:color="auto"/>
              <w:bottom w:val="single" w:sz="4" w:space="0" w:color="auto"/>
              <w:right w:val="single" w:sz="4" w:space="0" w:color="auto"/>
            </w:tcBorders>
            <w:shd w:val="clear" w:color="8E7CC3" w:fill="8E7CC3"/>
            <w:tcMar>
              <w:left w:w="0" w:type="dxa"/>
              <w:right w:w="0" w:type="dxa"/>
            </w:tcMar>
            <w:vAlign w:val="center"/>
            <w:hideMark/>
          </w:tcPr>
          <w:p w14:paraId="0602DFCD" w14:textId="45108033" w:rsidR="00B00C0F" w:rsidRPr="00B00C0F" w:rsidRDefault="00B00C0F" w:rsidP="00D42E41">
            <w:pPr>
              <w:jc w:val="center"/>
              <w:rPr>
                <w:rFonts w:ascii="Arial" w:hAnsi="Arial" w:cs="Arial"/>
                <w:b/>
                <w:bCs/>
                <w:color w:val="FFFFFF"/>
                <w:sz w:val="12"/>
                <w:szCs w:val="12"/>
              </w:rPr>
            </w:pPr>
            <w:r w:rsidRPr="00B00C0F">
              <w:rPr>
                <w:rFonts w:ascii="Arial" w:hAnsi="Arial" w:cs="Arial"/>
                <w:b/>
                <w:bCs/>
                <w:color w:val="FFFFFF"/>
                <w:sz w:val="12"/>
                <w:szCs w:val="12"/>
              </w:rPr>
              <w:t>Issue Keys</w:t>
            </w:r>
          </w:p>
        </w:tc>
        <w:tc>
          <w:tcPr>
            <w:tcW w:w="1980" w:type="dxa"/>
            <w:tcBorders>
              <w:top w:val="single" w:sz="4" w:space="0" w:color="auto"/>
              <w:left w:val="single" w:sz="4" w:space="0" w:color="auto"/>
              <w:bottom w:val="single" w:sz="4" w:space="0" w:color="auto"/>
              <w:right w:val="single" w:sz="4" w:space="0" w:color="auto"/>
            </w:tcBorders>
            <w:shd w:val="clear" w:color="8E7CC3" w:fill="8E7CC3"/>
            <w:vAlign w:val="center"/>
            <w:hideMark/>
          </w:tcPr>
          <w:p w14:paraId="37507684" w14:textId="77777777" w:rsidR="00B00C0F" w:rsidRPr="00B00C0F" w:rsidRDefault="00B00C0F" w:rsidP="00D42E41">
            <w:pPr>
              <w:jc w:val="center"/>
              <w:rPr>
                <w:rFonts w:ascii="Arial" w:hAnsi="Arial" w:cs="Arial"/>
                <w:b/>
                <w:bCs/>
                <w:color w:val="FFFFFF"/>
                <w:sz w:val="12"/>
                <w:szCs w:val="12"/>
              </w:rPr>
            </w:pPr>
            <w:r w:rsidRPr="00B00C0F">
              <w:rPr>
                <w:rFonts w:ascii="Arial" w:hAnsi="Arial" w:cs="Arial"/>
                <w:b/>
                <w:bCs/>
                <w:color w:val="FFFFFF"/>
                <w:sz w:val="12"/>
                <w:szCs w:val="12"/>
              </w:rPr>
              <w:t>Improvements Recommended</w:t>
            </w:r>
          </w:p>
        </w:tc>
        <w:tc>
          <w:tcPr>
            <w:tcW w:w="2520" w:type="dxa"/>
            <w:tcBorders>
              <w:top w:val="single" w:sz="4" w:space="0" w:color="auto"/>
              <w:left w:val="single" w:sz="4" w:space="0" w:color="auto"/>
              <w:bottom w:val="single" w:sz="4" w:space="0" w:color="auto"/>
              <w:right w:val="single" w:sz="4" w:space="0" w:color="auto"/>
            </w:tcBorders>
            <w:shd w:val="clear" w:color="8E7CC3" w:fill="8E7CC3"/>
            <w:vAlign w:val="center"/>
            <w:hideMark/>
          </w:tcPr>
          <w:p w14:paraId="24DF84E4" w14:textId="77777777" w:rsidR="00B00C0F" w:rsidRPr="00B00C0F" w:rsidRDefault="00B00C0F" w:rsidP="00D42E41">
            <w:pPr>
              <w:jc w:val="center"/>
              <w:rPr>
                <w:rFonts w:ascii="Arial" w:hAnsi="Arial" w:cs="Arial"/>
                <w:b/>
                <w:bCs/>
                <w:color w:val="FFFFFF"/>
                <w:sz w:val="12"/>
                <w:szCs w:val="12"/>
              </w:rPr>
            </w:pPr>
            <w:r w:rsidRPr="00B00C0F">
              <w:rPr>
                <w:rFonts w:ascii="Arial" w:hAnsi="Arial" w:cs="Arial"/>
                <w:b/>
                <w:bCs/>
                <w:color w:val="FFFFFF"/>
                <w:sz w:val="12"/>
                <w:szCs w:val="12"/>
              </w:rPr>
              <w:t>Additional Notes</w:t>
            </w:r>
          </w:p>
        </w:tc>
      </w:tr>
      <w:tr w:rsidR="00D42E41" w:rsidRPr="00B00C0F" w14:paraId="09C80A85" w14:textId="77777777" w:rsidTr="00D75826">
        <w:trPr>
          <w:trHeight w:val="1340"/>
        </w:trPr>
        <w:tc>
          <w:tcPr>
            <w:tcW w:w="1350" w:type="dxa"/>
            <w:tcBorders>
              <w:top w:val="single" w:sz="4" w:space="0" w:color="auto"/>
              <w:left w:val="single" w:sz="4" w:space="0" w:color="000000"/>
              <w:bottom w:val="single" w:sz="4" w:space="0" w:color="000000"/>
              <w:right w:val="single" w:sz="4" w:space="0" w:color="000000"/>
            </w:tcBorders>
            <w:shd w:val="clear" w:color="auto" w:fill="auto"/>
            <w:noWrap/>
            <w:tcMar>
              <w:left w:w="0" w:type="dxa"/>
              <w:right w:w="0" w:type="dxa"/>
            </w:tcMar>
            <w:hideMark/>
          </w:tcPr>
          <w:p w14:paraId="64D1E2D3" w14:textId="77777777" w:rsidR="00B00C0F" w:rsidRPr="00B00C0F" w:rsidRDefault="00B00C0F">
            <w:pPr>
              <w:rPr>
                <w:rFonts w:ascii="Arial" w:hAnsi="Arial" w:cs="Arial"/>
                <w:color w:val="000000"/>
                <w:sz w:val="12"/>
                <w:szCs w:val="12"/>
              </w:rPr>
            </w:pPr>
            <w:r w:rsidRPr="00B00C0F">
              <w:rPr>
                <w:rFonts w:ascii="Arial" w:hAnsi="Arial" w:cs="Arial"/>
                <w:color w:val="000000"/>
                <w:sz w:val="12"/>
                <w:szCs w:val="12"/>
              </w:rPr>
              <w:t>HEU-MET-FAST-003</w:t>
            </w:r>
          </w:p>
        </w:tc>
        <w:tc>
          <w:tcPr>
            <w:tcW w:w="1620" w:type="dxa"/>
            <w:tcBorders>
              <w:top w:val="single" w:sz="4" w:space="0" w:color="auto"/>
              <w:left w:val="nil"/>
              <w:bottom w:val="single" w:sz="4" w:space="0" w:color="000000"/>
              <w:right w:val="single" w:sz="4" w:space="0" w:color="000000"/>
            </w:tcBorders>
            <w:shd w:val="clear" w:color="auto" w:fill="auto"/>
            <w:noWrap/>
            <w:tcMar>
              <w:left w:w="0" w:type="dxa"/>
              <w:right w:w="0" w:type="dxa"/>
            </w:tcMar>
            <w:hideMark/>
          </w:tcPr>
          <w:p w14:paraId="62F7A05A" w14:textId="77777777" w:rsidR="00B00C0F" w:rsidRPr="00B00C0F" w:rsidRDefault="00B00C0F">
            <w:pPr>
              <w:rPr>
                <w:rFonts w:ascii="Arial" w:hAnsi="Arial" w:cs="Arial"/>
                <w:color w:val="000000"/>
                <w:sz w:val="12"/>
                <w:szCs w:val="12"/>
              </w:rPr>
            </w:pPr>
            <w:r w:rsidRPr="00B00C0F">
              <w:rPr>
                <w:rFonts w:ascii="Arial" w:hAnsi="Arial" w:cs="Arial"/>
                <w:color w:val="000000"/>
                <w:sz w:val="12"/>
                <w:szCs w:val="12"/>
              </w:rPr>
              <w:t>HEU-MET-FAST-003-001</w:t>
            </w:r>
          </w:p>
        </w:tc>
        <w:tc>
          <w:tcPr>
            <w:tcW w:w="450" w:type="dxa"/>
            <w:tcBorders>
              <w:top w:val="single" w:sz="4" w:space="0" w:color="auto"/>
              <w:left w:val="nil"/>
              <w:bottom w:val="single" w:sz="4" w:space="0" w:color="000000"/>
              <w:right w:val="single" w:sz="4" w:space="0" w:color="000000"/>
            </w:tcBorders>
            <w:shd w:val="clear" w:color="auto" w:fill="auto"/>
            <w:noWrap/>
            <w:tcMar>
              <w:left w:w="0" w:type="dxa"/>
              <w:right w:w="0" w:type="dxa"/>
            </w:tcMar>
            <w:hideMark/>
          </w:tcPr>
          <w:p w14:paraId="50CF8585" w14:textId="77777777" w:rsidR="00B00C0F" w:rsidRPr="00B00C0F" w:rsidRDefault="00B00C0F">
            <w:pPr>
              <w:rPr>
                <w:rFonts w:ascii="Arial" w:hAnsi="Arial" w:cs="Arial"/>
                <w:color w:val="000000"/>
                <w:sz w:val="12"/>
                <w:szCs w:val="12"/>
              </w:rPr>
            </w:pPr>
            <w:r w:rsidRPr="00B00C0F">
              <w:rPr>
                <w:rFonts w:ascii="Arial" w:hAnsi="Arial" w:cs="Arial"/>
                <w:color w:val="000000"/>
                <w:sz w:val="12"/>
                <w:szCs w:val="12"/>
              </w:rPr>
              <w:t>0</w:t>
            </w:r>
          </w:p>
        </w:tc>
        <w:tc>
          <w:tcPr>
            <w:tcW w:w="540" w:type="dxa"/>
            <w:tcBorders>
              <w:top w:val="single" w:sz="4" w:space="0" w:color="auto"/>
              <w:left w:val="nil"/>
              <w:bottom w:val="single" w:sz="4" w:space="0" w:color="000000"/>
              <w:right w:val="single" w:sz="4" w:space="0" w:color="000000"/>
            </w:tcBorders>
            <w:shd w:val="clear" w:color="auto" w:fill="auto"/>
            <w:noWrap/>
            <w:tcMar>
              <w:left w:w="0" w:type="dxa"/>
              <w:right w:w="0" w:type="dxa"/>
            </w:tcMar>
            <w:hideMark/>
          </w:tcPr>
          <w:p w14:paraId="44421D94" w14:textId="77777777" w:rsidR="00B00C0F" w:rsidRPr="00B00C0F" w:rsidRDefault="00B00C0F">
            <w:pPr>
              <w:rPr>
                <w:rFonts w:ascii="Arial" w:hAnsi="Arial" w:cs="Arial"/>
                <w:sz w:val="12"/>
                <w:szCs w:val="12"/>
              </w:rPr>
            </w:pPr>
            <w:r w:rsidRPr="00B00C0F">
              <w:rPr>
                <w:rFonts w:ascii="Arial" w:hAnsi="Arial" w:cs="Arial"/>
                <w:sz w:val="12"/>
                <w:szCs w:val="12"/>
              </w:rPr>
              <w:t>ALL</w:t>
            </w:r>
          </w:p>
        </w:tc>
        <w:tc>
          <w:tcPr>
            <w:tcW w:w="450" w:type="dxa"/>
            <w:tcBorders>
              <w:top w:val="single" w:sz="4" w:space="0" w:color="auto"/>
              <w:left w:val="nil"/>
              <w:bottom w:val="single" w:sz="4" w:space="0" w:color="000000"/>
              <w:right w:val="single" w:sz="4" w:space="0" w:color="000000"/>
            </w:tcBorders>
            <w:shd w:val="clear" w:color="auto" w:fill="auto"/>
            <w:noWrap/>
            <w:tcMar>
              <w:left w:w="0" w:type="dxa"/>
              <w:right w:w="0" w:type="dxa"/>
            </w:tcMar>
            <w:hideMark/>
          </w:tcPr>
          <w:p w14:paraId="37757D93" w14:textId="77777777" w:rsidR="00B00C0F" w:rsidRPr="00D42E41" w:rsidRDefault="00B00C0F" w:rsidP="00D42E41">
            <w:pPr>
              <w:jc w:val="center"/>
              <w:rPr>
                <w:rFonts w:ascii="Arial" w:hAnsi="Arial" w:cs="Arial"/>
                <w:b/>
                <w:bCs/>
                <w:color w:val="00B050"/>
                <w:sz w:val="18"/>
                <w:szCs w:val="18"/>
              </w:rPr>
            </w:pPr>
            <w:r w:rsidRPr="00D42E41">
              <w:rPr>
                <w:rFonts w:ascii="Arial" w:hAnsi="Arial" w:cs="Arial"/>
                <w:b/>
                <w:bCs/>
                <w:color w:val="00B050"/>
                <w:sz w:val="18"/>
                <w:szCs w:val="18"/>
              </w:rPr>
              <w:t>4</w:t>
            </w:r>
          </w:p>
        </w:tc>
        <w:tc>
          <w:tcPr>
            <w:tcW w:w="450" w:type="dxa"/>
            <w:tcBorders>
              <w:top w:val="single" w:sz="4" w:space="0" w:color="auto"/>
              <w:left w:val="nil"/>
              <w:bottom w:val="single" w:sz="4" w:space="0" w:color="000000"/>
              <w:right w:val="single" w:sz="4" w:space="0" w:color="000000"/>
            </w:tcBorders>
            <w:shd w:val="clear" w:color="auto" w:fill="auto"/>
            <w:noWrap/>
            <w:tcMar>
              <w:left w:w="0" w:type="dxa"/>
              <w:right w:w="0" w:type="dxa"/>
            </w:tcMar>
            <w:hideMark/>
          </w:tcPr>
          <w:p w14:paraId="315F3CD5" w14:textId="77777777" w:rsidR="00B00C0F" w:rsidRPr="00B00C0F" w:rsidRDefault="00B00C0F">
            <w:pPr>
              <w:rPr>
                <w:rFonts w:ascii="Arial" w:hAnsi="Arial" w:cs="Arial"/>
                <w:color w:val="000000"/>
                <w:sz w:val="12"/>
                <w:szCs w:val="12"/>
              </w:rPr>
            </w:pPr>
            <w:r w:rsidRPr="00B00C0F">
              <w:rPr>
                <w:rFonts w:ascii="Arial" w:hAnsi="Arial" w:cs="Arial"/>
                <w:color w:val="000000"/>
                <w:sz w:val="12"/>
                <w:szCs w:val="12"/>
              </w:rPr>
              <w:t> </w:t>
            </w:r>
          </w:p>
        </w:tc>
        <w:tc>
          <w:tcPr>
            <w:tcW w:w="1980" w:type="dxa"/>
            <w:tcBorders>
              <w:top w:val="single" w:sz="4" w:space="0" w:color="auto"/>
              <w:left w:val="nil"/>
              <w:bottom w:val="single" w:sz="4" w:space="0" w:color="000000"/>
              <w:right w:val="single" w:sz="4" w:space="0" w:color="000000"/>
            </w:tcBorders>
            <w:shd w:val="clear" w:color="auto" w:fill="auto"/>
            <w:hideMark/>
          </w:tcPr>
          <w:p w14:paraId="2DAD7559" w14:textId="77777777" w:rsidR="00B00C0F" w:rsidRPr="00B00C0F" w:rsidRDefault="00B00C0F" w:rsidP="00B00C0F">
            <w:pPr>
              <w:rPr>
                <w:rFonts w:ascii="Arial" w:hAnsi="Arial" w:cs="Arial"/>
                <w:color w:val="000000"/>
                <w:sz w:val="12"/>
                <w:szCs w:val="12"/>
              </w:rPr>
            </w:pPr>
            <w:r w:rsidRPr="00B00C0F">
              <w:rPr>
                <w:rFonts w:ascii="Arial" w:hAnsi="Arial" w:cs="Arial"/>
                <w:color w:val="000000"/>
                <w:sz w:val="12"/>
                <w:szCs w:val="12"/>
              </w:rPr>
              <w:t> </w:t>
            </w:r>
          </w:p>
        </w:tc>
        <w:tc>
          <w:tcPr>
            <w:tcW w:w="2520" w:type="dxa"/>
            <w:tcBorders>
              <w:top w:val="single" w:sz="4" w:space="0" w:color="auto"/>
              <w:left w:val="nil"/>
              <w:bottom w:val="single" w:sz="4" w:space="0" w:color="000000"/>
              <w:right w:val="single" w:sz="4" w:space="0" w:color="000000"/>
            </w:tcBorders>
            <w:shd w:val="clear" w:color="auto" w:fill="auto"/>
            <w:hideMark/>
          </w:tcPr>
          <w:p w14:paraId="727B931F" w14:textId="303D0337" w:rsidR="00B00C0F" w:rsidRPr="00B00C0F" w:rsidRDefault="00B00C0F" w:rsidP="00B00C0F">
            <w:pPr>
              <w:rPr>
                <w:rFonts w:ascii="Arial" w:hAnsi="Arial" w:cs="Arial"/>
                <w:color w:val="000000"/>
                <w:sz w:val="12"/>
                <w:szCs w:val="12"/>
              </w:rPr>
            </w:pPr>
            <w:r w:rsidRPr="00B00C0F">
              <w:rPr>
                <w:rFonts w:ascii="Arial" w:hAnsi="Arial" w:cs="Arial"/>
                <w:color w:val="000000"/>
                <w:sz w:val="12"/>
                <w:szCs w:val="12"/>
              </w:rPr>
              <w:t xml:space="preserve">In this series, it seems that experiments involving a tungsten carbide reflector calculate high by more than 1 % for some of them. This overestimation standing outside the 3σ, being not observed for other HMF experiments and being the same whatever the code that is used, it could be due to the nuclear data of tungsten. It has been checked that the trend increases </w:t>
            </w:r>
            <w:r w:rsidR="00D42E41" w:rsidRPr="00B00C0F">
              <w:rPr>
                <w:rFonts w:ascii="Arial" w:hAnsi="Arial" w:cs="Arial"/>
                <w:color w:val="000000"/>
                <w:sz w:val="12"/>
                <w:szCs w:val="12"/>
              </w:rPr>
              <w:t>with</w:t>
            </w:r>
            <w:r w:rsidRPr="00B00C0F">
              <w:rPr>
                <w:rFonts w:ascii="Arial" w:hAnsi="Arial" w:cs="Arial"/>
                <w:color w:val="000000"/>
                <w:sz w:val="12"/>
                <w:szCs w:val="12"/>
              </w:rPr>
              <w:t xml:space="preserve"> the reflector thickness, showing that keff is sensitive to the nuclear data of tungsten.</w:t>
            </w:r>
          </w:p>
        </w:tc>
      </w:tr>
      <w:tr w:rsidR="00D42E41" w:rsidRPr="00B00C0F" w14:paraId="119A3439" w14:textId="77777777" w:rsidTr="00D75826">
        <w:trPr>
          <w:trHeight w:val="440"/>
        </w:trPr>
        <w:tc>
          <w:tcPr>
            <w:tcW w:w="1350" w:type="dxa"/>
            <w:tcBorders>
              <w:top w:val="nil"/>
              <w:left w:val="single" w:sz="4" w:space="0" w:color="000000"/>
              <w:bottom w:val="single" w:sz="4" w:space="0" w:color="000000"/>
              <w:right w:val="single" w:sz="4" w:space="0" w:color="000000"/>
            </w:tcBorders>
            <w:shd w:val="clear" w:color="auto" w:fill="auto"/>
            <w:noWrap/>
            <w:tcMar>
              <w:left w:w="0" w:type="dxa"/>
              <w:right w:w="0" w:type="dxa"/>
            </w:tcMar>
            <w:hideMark/>
          </w:tcPr>
          <w:p w14:paraId="5A484657" w14:textId="77777777" w:rsidR="00B00C0F" w:rsidRPr="00B00C0F" w:rsidRDefault="00B00C0F">
            <w:pPr>
              <w:rPr>
                <w:rFonts w:ascii="Arial" w:hAnsi="Arial" w:cs="Arial"/>
                <w:color w:val="000000"/>
                <w:sz w:val="12"/>
                <w:szCs w:val="12"/>
              </w:rPr>
            </w:pPr>
            <w:r w:rsidRPr="00B00C0F">
              <w:rPr>
                <w:rFonts w:ascii="Arial" w:hAnsi="Arial" w:cs="Arial"/>
                <w:color w:val="000000"/>
                <w:sz w:val="12"/>
                <w:szCs w:val="12"/>
              </w:rPr>
              <w:t>LEU-COMP-THERM-078</w:t>
            </w:r>
          </w:p>
        </w:tc>
        <w:tc>
          <w:tcPr>
            <w:tcW w:w="1620" w:type="dxa"/>
            <w:tcBorders>
              <w:top w:val="nil"/>
              <w:left w:val="nil"/>
              <w:bottom w:val="single" w:sz="4" w:space="0" w:color="000000"/>
              <w:right w:val="single" w:sz="4" w:space="0" w:color="000000"/>
            </w:tcBorders>
            <w:shd w:val="clear" w:color="auto" w:fill="auto"/>
            <w:noWrap/>
            <w:tcMar>
              <w:left w:w="0" w:type="dxa"/>
              <w:right w:w="0" w:type="dxa"/>
            </w:tcMar>
            <w:hideMark/>
          </w:tcPr>
          <w:p w14:paraId="21BF5006" w14:textId="77777777" w:rsidR="00B00C0F" w:rsidRPr="00B00C0F" w:rsidRDefault="00B00C0F">
            <w:pPr>
              <w:rPr>
                <w:rFonts w:ascii="Arial" w:hAnsi="Arial" w:cs="Arial"/>
                <w:color w:val="000000"/>
                <w:sz w:val="12"/>
                <w:szCs w:val="12"/>
              </w:rPr>
            </w:pPr>
            <w:r w:rsidRPr="00B00C0F">
              <w:rPr>
                <w:rFonts w:ascii="Arial" w:hAnsi="Arial" w:cs="Arial"/>
                <w:color w:val="000000"/>
                <w:sz w:val="12"/>
                <w:szCs w:val="12"/>
              </w:rPr>
              <w:t>LEU-COMP-THERM-078-001</w:t>
            </w:r>
          </w:p>
        </w:tc>
        <w:tc>
          <w:tcPr>
            <w:tcW w:w="450" w:type="dxa"/>
            <w:tcBorders>
              <w:top w:val="nil"/>
              <w:left w:val="nil"/>
              <w:bottom w:val="single" w:sz="4" w:space="0" w:color="000000"/>
              <w:right w:val="single" w:sz="4" w:space="0" w:color="000000"/>
            </w:tcBorders>
            <w:shd w:val="clear" w:color="auto" w:fill="auto"/>
            <w:noWrap/>
            <w:tcMar>
              <w:left w:w="0" w:type="dxa"/>
              <w:right w:w="0" w:type="dxa"/>
            </w:tcMar>
            <w:hideMark/>
          </w:tcPr>
          <w:p w14:paraId="436DB68B" w14:textId="77777777" w:rsidR="00B00C0F" w:rsidRPr="00B00C0F" w:rsidRDefault="00B00C0F">
            <w:pPr>
              <w:rPr>
                <w:rFonts w:ascii="Arial" w:hAnsi="Arial" w:cs="Arial"/>
                <w:color w:val="000000"/>
                <w:sz w:val="12"/>
                <w:szCs w:val="12"/>
              </w:rPr>
            </w:pPr>
            <w:r w:rsidRPr="00B00C0F">
              <w:rPr>
                <w:rFonts w:ascii="Arial" w:hAnsi="Arial" w:cs="Arial"/>
                <w:color w:val="000000"/>
                <w:sz w:val="12"/>
                <w:szCs w:val="12"/>
              </w:rPr>
              <w:t>0</w:t>
            </w:r>
          </w:p>
        </w:tc>
        <w:tc>
          <w:tcPr>
            <w:tcW w:w="540" w:type="dxa"/>
            <w:tcBorders>
              <w:top w:val="nil"/>
              <w:left w:val="nil"/>
              <w:bottom w:val="single" w:sz="4" w:space="0" w:color="000000"/>
              <w:right w:val="single" w:sz="4" w:space="0" w:color="000000"/>
            </w:tcBorders>
            <w:shd w:val="clear" w:color="auto" w:fill="auto"/>
            <w:noWrap/>
            <w:tcMar>
              <w:left w:w="0" w:type="dxa"/>
              <w:right w:w="0" w:type="dxa"/>
            </w:tcMar>
            <w:hideMark/>
          </w:tcPr>
          <w:p w14:paraId="6300CD75" w14:textId="77777777" w:rsidR="00B00C0F" w:rsidRPr="00B00C0F" w:rsidRDefault="00B00C0F">
            <w:pPr>
              <w:rPr>
                <w:rFonts w:ascii="Arial" w:hAnsi="Arial" w:cs="Arial"/>
                <w:sz w:val="12"/>
                <w:szCs w:val="12"/>
              </w:rPr>
            </w:pPr>
            <w:r w:rsidRPr="00B00C0F">
              <w:rPr>
                <w:rFonts w:ascii="Arial" w:hAnsi="Arial" w:cs="Arial"/>
                <w:sz w:val="12"/>
                <w:szCs w:val="12"/>
              </w:rPr>
              <w:t>ALL</w:t>
            </w:r>
          </w:p>
        </w:tc>
        <w:tc>
          <w:tcPr>
            <w:tcW w:w="450" w:type="dxa"/>
            <w:tcBorders>
              <w:top w:val="nil"/>
              <w:left w:val="nil"/>
              <w:bottom w:val="single" w:sz="4" w:space="0" w:color="000000"/>
              <w:right w:val="single" w:sz="4" w:space="0" w:color="000000"/>
            </w:tcBorders>
            <w:shd w:val="clear" w:color="auto" w:fill="auto"/>
            <w:noWrap/>
            <w:tcMar>
              <w:left w:w="0" w:type="dxa"/>
              <w:right w:w="0" w:type="dxa"/>
            </w:tcMar>
            <w:hideMark/>
          </w:tcPr>
          <w:p w14:paraId="30D6EEFA" w14:textId="77777777" w:rsidR="00B00C0F" w:rsidRPr="00D42E41" w:rsidRDefault="00B00C0F" w:rsidP="00D42E41">
            <w:pPr>
              <w:jc w:val="center"/>
              <w:rPr>
                <w:rFonts w:ascii="Arial" w:hAnsi="Arial" w:cs="Arial"/>
                <w:b/>
                <w:bCs/>
                <w:color w:val="00B050"/>
                <w:sz w:val="18"/>
                <w:szCs w:val="18"/>
              </w:rPr>
            </w:pPr>
            <w:r w:rsidRPr="00D42E41">
              <w:rPr>
                <w:rFonts w:ascii="Arial" w:hAnsi="Arial" w:cs="Arial"/>
                <w:b/>
                <w:bCs/>
                <w:color w:val="00B050"/>
                <w:sz w:val="18"/>
                <w:szCs w:val="18"/>
              </w:rPr>
              <w:t>4</w:t>
            </w:r>
          </w:p>
        </w:tc>
        <w:tc>
          <w:tcPr>
            <w:tcW w:w="450" w:type="dxa"/>
            <w:tcBorders>
              <w:top w:val="nil"/>
              <w:left w:val="nil"/>
              <w:bottom w:val="single" w:sz="4" w:space="0" w:color="000000"/>
              <w:right w:val="single" w:sz="4" w:space="0" w:color="000000"/>
            </w:tcBorders>
            <w:shd w:val="clear" w:color="auto" w:fill="auto"/>
            <w:noWrap/>
            <w:tcMar>
              <w:left w:w="0" w:type="dxa"/>
              <w:right w:w="0" w:type="dxa"/>
            </w:tcMar>
            <w:hideMark/>
          </w:tcPr>
          <w:p w14:paraId="409AAEC2" w14:textId="77777777" w:rsidR="00B00C0F" w:rsidRPr="00B00C0F" w:rsidRDefault="00B00C0F">
            <w:pPr>
              <w:rPr>
                <w:rFonts w:ascii="Arial" w:hAnsi="Arial" w:cs="Arial"/>
                <w:color w:val="000000"/>
                <w:sz w:val="12"/>
                <w:szCs w:val="12"/>
              </w:rPr>
            </w:pPr>
            <w:r w:rsidRPr="00B00C0F">
              <w:rPr>
                <w:rFonts w:ascii="Arial" w:hAnsi="Arial" w:cs="Arial"/>
                <w:color w:val="000000"/>
                <w:sz w:val="12"/>
                <w:szCs w:val="12"/>
              </w:rPr>
              <w:t> </w:t>
            </w:r>
          </w:p>
        </w:tc>
        <w:tc>
          <w:tcPr>
            <w:tcW w:w="1980" w:type="dxa"/>
            <w:tcBorders>
              <w:top w:val="nil"/>
              <w:left w:val="nil"/>
              <w:bottom w:val="single" w:sz="4" w:space="0" w:color="000000"/>
              <w:right w:val="single" w:sz="4" w:space="0" w:color="000000"/>
            </w:tcBorders>
            <w:shd w:val="clear" w:color="auto" w:fill="auto"/>
            <w:hideMark/>
          </w:tcPr>
          <w:p w14:paraId="092F1C53" w14:textId="77777777" w:rsidR="00B00C0F" w:rsidRPr="00B00C0F" w:rsidRDefault="00B00C0F" w:rsidP="00B00C0F">
            <w:pPr>
              <w:rPr>
                <w:rFonts w:ascii="Arial" w:hAnsi="Arial" w:cs="Arial"/>
                <w:color w:val="000000"/>
                <w:sz w:val="12"/>
                <w:szCs w:val="12"/>
              </w:rPr>
            </w:pPr>
            <w:r w:rsidRPr="00B00C0F">
              <w:rPr>
                <w:rFonts w:ascii="Arial" w:hAnsi="Arial" w:cs="Arial"/>
                <w:color w:val="000000"/>
                <w:sz w:val="12"/>
                <w:szCs w:val="12"/>
              </w:rPr>
              <w:t> </w:t>
            </w:r>
          </w:p>
        </w:tc>
        <w:tc>
          <w:tcPr>
            <w:tcW w:w="2520" w:type="dxa"/>
            <w:tcBorders>
              <w:top w:val="nil"/>
              <w:left w:val="nil"/>
              <w:bottom w:val="single" w:sz="4" w:space="0" w:color="000000"/>
              <w:right w:val="single" w:sz="4" w:space="0" w:color="000000"/>
            </w:tcBorders>
            <w:shd w:val="clear" w:color="auto" w:fill="auto"/>
            <w:hideMark/>
          </w:tcPr>
          <w:p w14:paraId="6F5E5971" w14:textId="38AA70B7" w:rsidR="00B00C0F" w:rsidRPr="00B00C0F" w:rsidRDefault="00B00C0F" w:rsidP="00B00C0F">
            <w:pPr>
              <w:rPr>
                <w:rFonts w:ascii="Arial" w:hAnsi="Arial" w:cs="Arial"/>
                <w:color w:val="000000"/>
                <w:sz w:val="12"/>
                <w:szCs w:val="12"/>
              </w:rPr>
            </w:pPr>
            <w:r w:rsidRPr="00B00C0F">
              <w:rPr>
                <w:rFonts w:ascii="Arial" w:hAnsi="Arial" w:cs="Arial"/>
                <w:color w:val="000000"/>
                <w:sz w:val="12"/>
                <w:szCs w:val="12"/>
              </w:rPr>
              <w:t xml:space="preserve">The tight grouping of the results indicates low uncertainty and low variability from one case to another. The layout </w:t>
            </w:r>
            <w:r w:rsidR="00D42E41" w:rsidRPr="00B00C0F">
              <w:rPr>
                <w:rFonts w:ascii="Arial" w:hAnsi="Arial" w:cs="Arial"/>
                <w:color w:val="000000"/>
                <w:sz w:val="12"/>
                <w:szCs w:val="12"/>
              </w:rPr>
              <w:t>differences</w:t>
            </w:r>
            <w:r w:rsidRPr="00B00C0F">
              <w:rPr>
                <w:rFonts w:ascii="Arial" w:hAnsi="Arial" w:cs="Arial"/>
                <w:color w:val="000000"/>
                <w:sz w:val="12"/>
                <w:szCs w:val="12"/>
              </w:rPr>
              <w:t xml:space="preserve"> are small, so the results may be highly correlated, but even if examined simply as </w:t>
            </w:r>
            <w:r w:rsidR="00D42E41" w:rsidRPr="00B00C0F">
              <w:rPr>
                <w:rFonts w:ascii="Arial" w:hAnsi="Arial" w:cs="Arial"/>
                <w:color w:val="000000"/>
                <w:sz w:val="12"/>
                <w:szCs w:val="12"/>
              </w:rPr>
              <w:t>reproducibility</w:t>
            </w:r>
            <w:r w:rsidRPr="00B00C0F">
              <w:rPr>
                <w:rFonts w:ascii="Arial" w:hAnsi="Arial" w:cs="Arial"/>
                <w:color w:val="000000"/>
                <w:sz w:val="12"/>
                <w:szCs w:val="12"/>
              </w:rPr>
              <w:t xml:space="preserve"> measurements they demonstrate high precision.</w:t>
            </w:r>
          </w:p>
        </w:tc>
      </w:tr>
      <w:tr w:rsidR="00D42E41" w:rsidRPr="00B00C0F" w14:paraId="1623387A" w14:textId="77777777" w:rsidTr="00D75826">
        <w:trPr>
          <w:trHeight w:val="1178"/>
        </w:trPr>
        <w:tc>
          <w:tcPr>
            <w:tcW w:w="1350" w:type="dxa"/>
            <w:tcBorders>
              <w:top w:val="nil"/>
              <w:left w:val="single" w:sz="4" w:space="0" w:color="000000"/>
              <w:bottom w:val="single" w:sz="4" w:space="0" w:color="000000"/>
              <w:right w:val="single" w:sz="4" w:space="0" w:color="000000"/>
            </w:tcBorders>
            <w:shd w:val="clear" w:color="auto" w:fill="auto"/>
            <w:noWrap/>
            <w:tcMar>
              <w:left w:w="0" w:type="dxa"/>
              <w:right w:w="0" w:type="dxa"/>
            </w:tcMar>
            <w:hideMark/>
          </w:tcPr>
          <w:p w14:paraId="63D21F09" w14:textId="77777777" w:rsidR="00B00C0F" w:rsidRPr="00B00C0F" w:rsidRDefault="00B00C0F">
            <w:pPr>
              <w:rPr>
                <w:rFonts w:ascii="Arial" w:hAnsi="Arial" w:cs="Arial"/>
                <w:color w:val="000000"/>
                <w:sz w:val="12"/>
                <w:szCs w:val="12"/>
              </w:rPr>
            </w:pPr>
            <w:r w:rsidRPr="00B00C0F">
              <w:rPr>
                <w:rFonts w:ascii="Arial" w:hAnsi="Arial" w:cs="Arial"/>
                <w:color w:val="000000"/>
                <w:sz w:val="12"/>
                <w:szCs w:val="12"/>
              </w:rPr>
              <w:t>LEU-COMP-THERM-027</w:t>
            </w:r>
          </w:p>
        </w:tc>
        <w:tc>
          <w:tcPr>
            <w:tcW w:w="1620" w:type="dxa"/>
            <w:tcBorders>
              <w:top w:val="nil"/>
              <w:left w:val="nil"/>
              <w:bottom w:val="single" w:sz="4" w:space="0" w:color="000000"/>
              <w:right w:val="single" w:sz="4" w:space="0" w:color="000000"/>
            </w:tcBorders>
            <w:shd w:val="clear" w:color="auto" w:fill="auto"/>
            <w:noWrap/>
            <w:tcMar>
              <w:left w:w="0" w:type="dxa"/>
              <w:right w:w="0" w:type="dxa"/>
            </w:tcMar>
            <w:hideMark/>
          </w:tcPr>
          <w:p w14:paraId="0EFD7C2E" w14:textId="77777777" w:rsidR="00B00C0F" w:rsidRPr="00B00C0F" w:rsidRDefault="00B00C0F">
            <w:pPr>
              <w:rPr>
                <w:rFonts w:ascii="Arial" w:hAnsi="Arial" w:cs="Arial"/>
                <w:color w:val="000000"/>
                <w:sz w:val="12"/>
                <w:szCs w:val="12"/>
              </w:rPr>
            </w:pPr>
            <w:r w:rsidRPr="00B00C0F">
              <w:rPr>
                <w:rFonts w:ascii="Arial" w:hAnsi="Arial" w:cs="Arial"/>
                <w:color w:val="000000"/>
                <w:sz w:val="12"/>
                <w:szCs w:val="12"/>
              </w:rPr>
              <w:t>LEU-COMP-THERM-027-001</w:t>
            </w:r>
          </w:p>
        </w:tc>
        <w:tc>
          <w:tcPr>
            <w:tcW w:w="450" w:type="dxa"/>
            <w:tcBorders>
              <w:top w:val="nil"/>
              <w:left w:val="nil"/>
              <w:bottom w:val="single" w:sz="4" w:space="0" w:color="000000"/>
              <w:right w:val="single" w:sz="4" w:space="0" w:color="000000"/>
            </w:tcBorders>
            <w:shd w:val="clear" w:color="auto" w:fill="auto"/>
            <w:noWrap/>
            <w:tcMar>
              <w:left w:w="0" w:type="dxa"/>
              <w:right w:w="0" w:type="dxa"/>
            </w:tcMar>
            <w:hideMark/>
          </w:tcPr>
          <w:p w14:paraId="2D91B75F" w14:textId="77777777" w:rsidR="00B00C0F" w:rsidRPr="00B00C0F" w:rsidRDefault="00B00C0F">
            <w:pPr>
              <w:rPr>
                <w:rFonts w:ascii="Arial" w:hAnsi="Arial" w:cs="Arial"/>
                <w:color w:val="000000"/>
                <w:sz w:val="12"/>
                <w:szCs w:val="12"/>
              </w:rPr>
            </w:pPr>
            <w:r w:rsidRPr="00B00C0F">
              <w:rPr>
                <w:rFonts w:ascii="Arial" w:hAnsi="Arial" w:cs="Arial"/>
                <w:color w:val="000000"/>
                <w:sz w:val="12"/>
                <w:szCs w:val="12"/>
              </w:rPr>
              <w:t>2</w:t>
            </w:r>
          </w:p>
        </w:tc>
        <w:tc>
          <w:tcPr>
            <w:tcW w:w="540" w:type="dxa"/>
            <w:tcBorders>
              <w:top w:val="nil"/>
              <w:left w:val="nil"/>
              <w:bottom w:val="single" w:sz="4" w:space="0" w:color="000000"/>
              <w:right w:val="single" w:sz="4" w:space="0" w:color="000000"/>
            </w:tcBorders>
            <w:shd w:val="clear" w:color="auto" w:fill="auto"/>
            <w:noWrap/>
            <w:tcMar>
              <w:left w:w="0" w:type="dxa"/>
              <w:right w:w="0" w:type="dxa"/>
            </w:tcMar>
            <w:hideMark/>
          </w:tcPr>
          <w:p w14:paraId="4A347600" w14:textId="77777777" w:rsidR="00B00C0F" w:rsidRPr="00B00C0F" w:rsidRDefault="00B00C0F">
            <w:pPr>
              <w:rPr>
                <w:rFonts w:ascii="Arial" w:hAnsi="Arial" w:cs="Arial"/>
                <w:sz w:val="12"/>
                <w:szCs w:val="12"/>
              </w:rPr>
            </w:pPr>
            <w:r w:rsidRPr="00B00C0F">
              <w:rPr>
                <w:rFonts w:ascii="Arial" w:hAnsi="Arial" w:cs="Arial"/>
                <w:sz w:val="12"/>
                <w:szCs w:val="12"/>
              </w:rPr>
              <w:t>ALL</w:t>
            </w:r>
          </w:p>
        </w:tc>
        <w:tc>
          <w:tcPr>
            <w:tcW w:w="450" w:type="dxa"/>
            <w:tcBorders>
              <w:top w:val="nil"/>
              <w:left w:val="nil"/>
              <w:bottom w:val="nil"/>
              <w:right w:val="single" w:sz="4" w:space="0" w:color="000000"/>
            </w:tcBorders>
            <w:shd w:val="clear" w:color="auto" w:fill="auto"/>
            <w:noWrap/>
            <w:tcMar>
              <w:left w:w="0" w:type="dxa"/>
              <w:right w:w="0" w:type="dxa"/>
            </w:tcMar>
            <w:hideMark/>
          </w:tcPr>
          <w:p w14:paraId="599FCA92" w14:textId="77777777" w:rsidR="00B00C0F" w:rsidRPr="00D42E41" w:rsidRDefault="00B00C0F" w:rsidP="00D42E41">
            <w:pPr>
              <w:jc w:val="center"/>
              <w:rPr>
                <w:rFonts w:ascii="Arial" w:hAnsi="Arial" w:cs="Arial"/>
                <w:b/>
                <w:bCs/>
                <w:color w:val="434343"/>
                <w:sz w:val="18"/>
                <w:szCs w:val="18"/>
              </w:rPr>
            </w:pPr>
            <w:r w:rsidRPr="00D42E41">
              <w:rPr>
                <w:rFonts w:ascii="Arial" w:hAnsi="Arial" w:cs="Arial"/>
                <w:b/>
                <w:bCs/>
                <w:color w:val="0070C0"/>
                <w:sz w:val="18"/>
                <w:szCs w:val="18"/>
              </w:rPr>
              <w:t>3</w:t>
            </w:r>
          </w:p>
        </w:tc>
        <w:tc>
          <w:tcPr>
            <w:tcW w:w="450" w:type="dxa"/>
            <w:tcBorders>
              <w:top w:val="nil"/>
              <w:left w:val="nil"/>
              <w:bottom w:val="nil"/>
              <w:right w:val="single" w:sz="4" w:space="0" w:color="000000"/>
            </w:tcBorders>
            <w:shd w:val="clear" w:color="auto" w:fill="auto"/>
            <w:noWrap/>
            <w:tcMar>
              <w:left w:w="0" w:type="dxa"/>
              <w:right w:w="0" w:type="dxa"/>
            </w:tcMar>
            <w:hideMark/>
          </w:tcPr>
          <w:p w14:paraId="622B2472" w14:textId="77777777" w:rsidR="00B00C0F" w:rsidRPr="00B00C0F" w:rsidRDefault="00B00C0F">
            <w:pPr>
              <w:rPr>
                <w:rFonts w:ascii="Arial" w:hAnsi="Arial" w:cs="Arial"/>
                <w:color w:val="000000"/>
                <w:sz w:val="12"/>
                <w:szCs w:val="12"/>
              </w:rPr>
            </w:pPr>
            <w:r w:rsidRPr="00B00C0F">
              <w:rPr>
                <w:rFonts w:ascii="Arial" w:hAnsi="Arial" w:cs="Arial"/>
                <w:color w:val="000000"/>
                <w:sz w:val="12"/>
                <w:szCs w:val="12"/>
              </w:rPr>
              <w:t>B</w:t>
            </w:r>
          </w:p>
        </w:tc>
        <w:tc>
          <w:tcPr>
            <w:tcW w:w="1980" w:type="dxa"/>
            <w:tcBorders>
              <w:top w:val="nil"/>
              <w:left w:val="nil"/>
              <w:bottom w:val="nil"/>
              <w:right w:val="single" w:sz="4" w:space="0" w:color="000000"/>
            </w:tcBorders>
            <w:shd w:val="clear" w:color="auto" w:fill="auto"/>
            <w:hideMark/>
          </w:tcPr>
          <w:p w14:paraId="2C22085A" w14:textId="1D4B80E3" w:rsidR="00B00C0F" w:rsidRPr="00B00C0F" w:rsidRDefault="00B00C0F" w:rsidP="00B00C0F">
            <w:pPr>
              <w:rPr>
                <w:rFonts w:ascii="Arial" w:hAnsi="Arial" w:cs="Arial"/>
                <w:color w:val="000000"/>
                <w:sz w:val="12"/>
                <w:szCs w:val="12"/>
              </w:rPr>
            </w:pPr>
            <w:r w:rsidRPr="00B00C0F">
              <w:rPr>
                <w:rFonts w:ascii="Arial" w:hAnsi="Arial" w:cs="Arial"/>
                <w:color w:val="000000"/>
                <w:sz w:val="12"/>
                <w:szCs w:val="12"/>
              </w:rPr>
              <w:t xml:space="preserve">Some </w:t>
            </w:r>
            <w:r w:rsidR="00D42E41" w:rsidRPr="00B00C0F">
              <w:rPr>
                <w:rFonts w:ascii="Arial" w:hAnsi="Arial" w:cs="Arial"/>
                <w:color w:val="000000"/>
                <w:sz w:val="12"/>
                <w:szCs w:val="12"/>
              </w:rPr>
              <w:t>overestimations</w:t>
            </w:r>
            <w:r w:rsidRPr="00B00C0F">
              <w:rPr>
                <w:rFonts w:ascii="Arial" w:hAnsi="Arial" w:cs="Arial"/>
                <w:color w:val="000000"/>
                <w:sz w:val="12"/>
                <w:szCs w:val="12"/>
              </w:rPr>
              <w:t xml:space="preserve"> (outside the 3 σ of the experimental uncertainties) appears for some cases depending on the gap thickness between the lattice of rods and the lead reflector screen and also depending of the lead reflector screen thickness. </w:t>
            </w:r>
          </w:p>
        </w:tc>
        <w:tc>
          <w:tcPr>
            <w:tcW w:w="2520" w:type="dxa"/>
            <w:tcBorders>
              <w:top w:val="nil"/>
              <w:left w:val="nil"/>
              <w:bottom w:val="nil"/>
              <w:right w:val="single" w:sz="4" w:space="0" w:color="000000"/>
            </w:tcBorders>
            <w:shd w:val="clear" w:color="auto" w:fill="auto"/>
            <w:hideMark/>
          </w:tcPr>
          <w:p w14:paraId="30A71D7E" w14:textId="77777777" w:rsidR="00B00C0F" w:rsidRPr="00B00C0F" w:rsidRDefault="00B00C0F" w:rsidP="00B00C0F">
            <w:pPr>
              <w:rPr>
                <w:rFonts w:ascii="Arial" w:hAnsi="Arial" w:cs="Arial"/>
                <w:color w:val="000000"/>
                <w:sz w:val="12"/>
                <w:szCs w:val="12"/>
              </w:rPr>
            </w:pPr>
            <w:r w:rsidRPr="00B00C0F">
              <w:rPr>
                <w:rFonts w:ascii="Arial" w:hAnsi="Arial" w:cs="Arial"/>
                <w:color w:val="000000"/>
                <w:sz w:val="12"/>
                <w:szCs w:val="12"/>
              </w:rPr>
              <w:t>It is observed for all codes and is more or less significant depending of the nuclear data. An improvement of the lead nuclear data (angular distributions and cross sections) could lead to an improvement of results.</w:t>
            </w:r>
          </w:p>
        </w:tc>
      </w:tr>
      <w:tr w:rsidR="00D42E41" w:rsidRPr="00B00C0F" w14:paraId="08C21237" w14:textId="77777777" w:rsidTr="00D75826">
        <w:trPr>
          <w:trHeight w:val="908"/>
        </w:trPr>
        <w:tc>
          <w:tcPr>
            <w:tcW w:w="1350" w:type="dxa"/>
            <w:tcBorders>
              <w:top w:val="nil"/>
              <w:left w:val="single" w:sz="4" w:space="0" w:color="000000"/>
              <w:bottom w:val="single" w:sz="4" w:space="0" w:color="000000"/>
              <w:right w:val="single" w:sz="4" w:space="0" w:color="000000"/>
            </w:tcBorders>
            <w:shd w:val="clear" w:color="auto" w:fill="auto"/>
            <w:noWrap/>
            <w:tcMar>
              <w:left w:w="0" w:type="dxa"/>
              <w:right w:w="0" w:type="dxa"/>
            </w:tcMar>
            <w:hideMark/>
          </w:tcPr>
          <w:p w14:paraId="603A61A8" w14:textId="77777777" w:rsidR="00B00C0F" w:rsidRPr="00B00C0F" w:rsidRDefault="00B00C0F">
            <w:pPr>
              <w:rPr>
                <w:rFonts w:ascii="Arial" w:hAnsi="Arial" w:cs="Arial"/>
                <w:color w:val="000000"/>
                <w:sz w:val="12"/>
                <w:szCs w:val="12"/>
              </w:rPr>
            </w:pPr>
            <w:r w:rsidRPr="00B00C0F">
              <w:rPr>
                <w:rFonts w:ascii="Arial" w:hAnsi="Arial" w:cs="Arial"/>
                <w:color w:val="000000"/>
                <w:sz w:val="12"/>
                <w:szCs w:val="12"/>
              </w:rPr>
              <w:t>PU-MET-FAST-001</w:t>
            </w:r>
          </w:p>
        </w:tc>
        <w:tc>
          <w:tcPr>
            <w:tcW w:w="1620" w:type="dxa"/>
            <w:tcBorders>
              <w:top w:val="nil"/>
              <w:left w:val="nil"/>
              <w:bottom w:val="single" w:sz="4" w:space="0" w:color="000000"/>
              <w:right w:val="single" w:sz="4" w:space="0" w:color="000000"/>
            </w:tcBorders>
            <w:shd w:val="clear" w:color="auto" w:fill="auto"/>
            <w:noWrap/>
            <w:tcMar>
              <w:left w:w="0" w:type="dxa"/>
              <w:right w:w="0" w:type="dxa"/>
            </w:tcMar>
            <w:hideMark/>
          </w:tcPr>
          <w:p w14:paraId="3AC152DB" w14:textId="77777777" w:rsidR="00B00C0F" w:rsidRPr="00B00C0F" w:rsidRDefault="00B00C0F">
            <w:pPr>
              <w:rPr>
                <w:rFonts w:ascii="Arial" w:hAnsi="Arial" w:cs="Arial"/>
                <w:color w:val="000000"/>
                <w:sz w:val="12"/>
                <w:szCs w:val="12"/>
              </w:rPr>
            </w:pPr>
            <w:r w:rsidRPr="00B00C0F">
              <w:rPr>
                <w:rFonts w:ascii="Arial" w:hAnsi="Arial" w:cs="Arial"/>
                <w:color w:val="000000"/>
                <w:sz w:val="12"/>
                <w:szCs w:val="12"/>
              </w:rPr>
              <w:t>PU-MET-FAST-001-001</w:t>
            </w:r>
          </w:p>
        </w:tc>
        <w:tc>
          <w:tcPr>
            <w:tcW w:w="450" w:type="dxa"/>
            <w:tcBorders>
              <w:top w:val="nil"/>
              <w:left w:val="nil"/>
              <w:bottom w:val="single" w:sz="4" w:space="0" w:color="000000"/>
              <w:right w:val="single" w:sz="4" w:space="0" w:color="000000"/>
            </w:tcBorders>
            <w:shd w:val="clear" w:color="auto" w:fill="auto"/>
            <w:noWrap/>
            <w:tcMar>
              <w:left w:w="0" w:type="dxa"/>
              <w:right w:w="0" w:type="dxa"/>
            </w:tcMar>
            <w:hideMark/>
          </w:tcPr>
          <w:p w14:paraId="259479D2" w14:textId="77777777" w:rsidR="00B00C0F" w:rsidRPr="00B00C0F" w:rsidRDefault="00B00C0F">
            <w:pPr>
              <w:rPr>
                <w:rFonts w:ascii="Arial" w:hAnsi="Arial" w:cs="Arial"/>
                <w:color w:val="000000"/>
                <w:sz w:val="12"/>
                <w:szCs w:val="12"/>
              </w:rPr>
            </w:pPr>
            <w:r w:rsidRPr="00B00C0F">
              <w:rPr>
                <w:rFonts w:ascii="Arial" w:hAnsi="Arial" w:cs="Arial"/>
                <w:color w:val="000000"/>
                <w:sz w:val="12"/>
                <w:szCs w:val="12"/>
              </w:rPr>
              <w:t>4</w:t>
            </w:r>
          </w:p>
        </w:tc>
        <w:tc>
          <w:tcPr>
            <w:tcW w:w="540" w:type="dxa"/>
            <w:tcBorders>
              <w:top w:val="nil"/>
              <w:left w:val="nil"/>
              <w:bottom w:val="single" w:sz="4" w:space="0" w:color="000000"/>
              <w:right w:val="nil"/>
            </w:tcBorders>
            <w:shd w:val="clear" w:color="auto" w:fill="auto"/>
            <w:noWrap/>
            <w:tcMar>
              <w:left w:w="0" w:type="dxa"/>
              <w:right w:w="0" w:type="dxa"/>
            </w:tcMar>
            <w:hideMark/>
          </w:tcPr>
          <w:p w14:paraId="4C123419" w14:textId="77777777" w:rsidR="00B00C0F" w:rsidRPr="00B00C0F" w:rsidRDefault="00B00C0F">
            <w:pPr>
              <w:rPr>
                <w:rFonts w:ascii="Arial" w:hAnsi="Arial" w:cs="Arial"/>
                <w:sz w:val="12"/>
                <w:szCs w:val="12"/>
              </w:rPr>
            </w:pPr>
            <w:r w:rsidRPr="00B00C0F">
              <w:rPr>
                <w:rFonts w:ascii="Arial" w:hAnsi="Arial" w:cs="Arial"/>
                <w:sz w:val="12"/>
                <w:szCs w:val="12"/>
              </w:rPr>
              <w:t>ALL</w:t>
            </w:r>
          </w:p>
        </w:tc>
        <w:tc>
          <w:tcPr>
            <w:tcW w:w="450" w:type="dxa"/>
            <w:tcBorders>
              <w:top w:val="single" w:sz="4" w:space="0" w:color="auto"/>
              <w:left w:val="single" w:sz="4" w:space="0" w:color="auto"/>
              <w:bottom w:val="single" w:sz="4" w:space="0" w:color="auto"/>
              <w:right w:val="single" w:sz="4" w:space="0" w:color="auto"/>
            </w:tcBorders>
            <w:shd w:val="clear" w:color="auto" w:fill="auto"/>
            <w:noWrap/>
            <w:tcMar>
              <w:left w:w="0" w:type="dxa"/>
              <w:right w:w="0" w:type="dxa"/>
            </w:tcMar>
            <w:hideMark/>
          </w:tcPr>
          <w:p w14:paraId="71656F82" w14:textId="77777777" w:rsidR="00B00C0F" w:rsidRPr="00D42E41" w:rsidRDefault="00B00C0F" w:rsidP="00D42E41">
            <w:pPr>
              <w:jc w:val="center"/>
              <w:rPr>
                <w:rFonts w:ascii="Arial" w:hAnsi="Arial" w:cs="Arial"/>
                <w:b/>
                <w:bCs/>
                <w:color w:val="FFC000"/>
                <w:sz w:val="18"/>
                <w:szCs w:val="18"/>
              </w:rPr>
            </w:pPr>
            <w:r w:rsidRPr="00D42E41">
              <w:rPr>
                <w:rFonts w:ascii="Arial" w:hAnsi="Arial" w:cs="Arial"/>
                <w:b/>
                <w:bCs/>
                <w:color w:val="FFC000"/>
                <w:sz w:val="18"/>
                <w:szCs w:val="18"/>
              </w:rPr>
              <w:t>2</w:t>
            </w:r>
          </w:p>
        </w:tc>
        <w:tc>
          <w:tcPr>
            <w:tcW w:w="450" w:type="dxa"/>
            <w:tcBorders>
              <w:top w:val="single" w:sz="4" w:space="0" w:color="auto"/>
              <w:left w:val="nil"/>
              <w:bottom w:val="single" w:sz="4" w:space="0" w:color="auto"/>
              <w:right w:val="single" w:sz="4" w:space="0" w:color="auto"/>
            </w:tcBorders>
            <w:shd w:val="clear" w:color="auto" w:fill="auto"/>
            <w:noWrap/>
            <w:tcMar>
              <w:left w:w="0" w:type="dxa"/>
              <w:right w:w="0" w:type="dxa"/>
            </w:tcMar>
            <w:hideMark/>
          </w:tcPr>
          <w:p w14:paraId="5B73B28E" w14:textId="77777777" w:rsidR="00B00C0F" w:rsidRPr="00B00C0F" w:rsidRDefault="00B00C0F">
            <w:pPr>
              <w:rPr>
                <w:rFonts w:ascii="Arial" w:hAnsi="Arial" w:cs="Arial"/>
                <w:sz w:val="12"/>
                <w:szCs w:val="12"/>
              </w:rPr>
            </w:pPr>
            <w:r w:rsidRPr="00B00C0F">
              <w:rPr>
                <w:rFonts w:ascii="Arial" w:hAnsi="Arial" w:cs="Arial"/>
                <w:sz w:val="12"/>
                <w:szCs w:val="12"/>
              </w:rPr>
              <w:t>U</w:t>
            </w:r>
          </w:p>
        </w:tc>
        <w:tc>
          <w:tcPr>
            <w:tcW w:w="1980" w:type="dxa"/>
            <w:tcBorders>
              <w:top w:val="single" w:sz="4" w:space="0" w:color="auto"/>
              <w:left w:val="nil"/>
              <w:bottom w:val="single" w:sz="4" w:space="0" w:color="auto"/>
              <w:right w:val="single" w:sz="4" w:space="0" w:color="auto"/>
            </w:tcBorders>
            <w:shd w:val="clear" w:color="auto" w:fill="auto"/>
            <w:hideMark/>
          </w:tcPr>
          <w:p w14:paraId="0095D3D2" w14:textId="0B3F0812" w:rsidR="00B00C0F" w:rsidRPr="00B00C0F" w:rsidRDefault="00B00C0F" w:rsidP="00B00C0F">
            <w:pPr>
              <w:rPr>
                <w:rFonts w:ascii="Arial" w:hAnsi="Arial" w:cs="Arial"/>
                <w:sz w:val="12"/>
                <w:szCs w:val="12"/>
              </w:rPr>
            </w:pPr>
            <w:r w:rsidRPr="00B00C0F">
              <w:rPr>
                <w:rFonts w:ascii="Arial" w:hAnsi="Arial" w:cs="Arial"/>
                <w:sz w:val="12"/>
                <w:szCs w:val="12"/>
              </w:rPr>
              <w:t xml:space="preserve">Density of the plutonium parts is not </w:t>
            </w:r>
            <w:r w:rsidR="00D42E41" w:rsidRPr="00B00C0F">
              <w:rPr>
                <w:rFonts w:ascii="Arial" w:hAnsi="Arial" w:cs="Arial"/>
                <w:sz w:val="12"/>
                <w:szCs w:val="12"/>
              </w:rPr>
              <w:t>specified,</w:t>
            </w:r>
            <w:r w:rsidRPr="00B00C0F">
              <w:rPr>
                <w:rFonts w:ascii="Arial" w:hAnsi="Arial" w:cs="Arial"/>
                <w:sz w:val="12"/>
                <w:szCs w:val="12"/>
              </w:rPr>
              <w:t xml:space="preserve"> and thus experimental uncertainties are too small. </w:t>
            </w:r>
          </w:p>
        </w:tc>
        <w:tc>
          <w:tcPr>
            <w:tcW w:w="2520" w:type="dxa"/>
            <w:tcBorders>
              <w:top w:val="single" w:sz="4" w:space="0" w:color="auto"/>
              <w:left w:val="nil"/>
              <w:bottom w:val="single" w:sz="4" w:space="0" w:color="auto"/>
              <w:right w:val="single" w:sz="4" w:space="0" w:color="auto"/>
            </w:tcBorders>
            <w:shd w:val="clear" w:color="auto" w:fill="auto"/>
            <w:hideMark/>
          </w:tcPr>
          <w:p w14:paraId="0EEBD7CA" w14:textId="77777777" w:rsidR="00B00C0F" w:rsidRPr="00B00C0F" w:rsidRDefault="00B00C0F" w:rsidP="00B00C0F">
            <w:pPr>
              <w:rPr>
                <w:rFonts w:ascii="Arial" w:hAnsi="Arial" w:cs="Arial"/>
                <w:sz w:val="12"/>
                <w:szCs w:val="12"/>
              </w:rPr>
            </w:pPr>
            <w:r w:rsidRPr="00B00C0F">
              <w:rPr>
                <w:rFonts w:ascii="Arial" w:hAnsi="Arial" w:cs="Arial"/>
                <w:sz w:val="12"/>
                <w:szCs w:val="12"/>
              </w:rPr>
              <w:t>While the fourth revision to PMF-001 included much new geometry data and significantly revised the original evaluation, since this is a fast, bare plutonium assembly, the density has a very large effect on keff.  Given the density is not precisely known, the experimental uncertainties are too small.</w:t>
            </w:r>
          </w:p>
        </w:tc>
      </w:tr>
      <w:tr w:rsidR="00D42E41" w:rsidRPr="00B00C0F" w14:paraId="72F0DEB7" w14:textId="77777777" w:rsidTr="00D75826">
        <w:trPr>
          <w:trHeight w:val="332"/>
        </w:trPr>
        <w:tc>
          <w:tcPr>
            <w:tcW w:w="1350" w:type="dxa"/>
            <w:tcBorders>
              <w:top w:val="nil"/>
              <w:left w:val="single" w:sz="4" w:space="0" w:color="000000"/>
              <w:bottom w:val="single" w:sz="4" w:space="0" w:color="000000"/>
              <w:right w:val="single" w:sz="4" w:space="0" w:color="000000"/>
            </w:tcBorders>
            <w:shd w:val="clear" w:color="auto" w:fill="auto"/>
            <w:noWrap/>
            <w:tcMar>
              <w:left w:w="0" w:type="dxa"/>
              <w:right w:w="0" w:type="dxa"/>
            </w:tcMar>
            <w:hideMark/>
          </w:tcPr>
          <w:p w14:paraId="18417EF1" w14:textId="77777777" w:rsidR="00B00C0F" w:rsidRPr="00B00C0F" w:rsidRDefault="00B00C0F">
            <w:pPr>
              <w:rPr>
                <w:rFonts w:ascii="Arial" w:hAnsi="Arial" w:cs="Arial"/>
                <w:color w:val="000000"/>
                <w:sz w:val="12"/>
                <w:szCs w:val="12"/>
              </w:rPr>
            </w:pPr>
            <w:r w:rsidRPr="00B00C0F">
              <w:rPr>
                <w:rFonts w:ascii="Arial" w:hAnsi="Arial" w:cs="Arial"/>
                <w:color w:val="000000"/>
                <w:sz w:val="12"/>
                <w:szCs w:val="12"/>
              </w:rPr>
              <w:t>PU-MET-FAST-008</w:t>
            </w:r>
          </w:p>
        </w:tc>
        <w:tc>
          <w:tcPr>
            <w:tcW w:w="1620" w:type="dxa"/>
            <w:tcBorders>
              <w:top w:val="nil"/>
              <w:left w:val="nil"/>
              <w:bottom w:val="single" w:sz="4" w:space="0" w:color="000000"/>
              <w:right w:val="single" w:sz="4" w:space="0" w:color="000000"/>
            </w:tcBorders>
            <w:shd w:val="clear" w:color="auto" w:fill="auto"/>
            <w:noWrap/>
            <w:tcMar>
              <w:left w:w="0" w:type="dxa"/>
              <w:right w:w="0" w:type="dxa"/>
            </w:tcMar>
            <w:hideMark/>
          </w:tcPr>
          <w:p w14:paraId="23AFB32A" w14:textId="77777777" w:rsidR="00B00C0F" w:rsidRPr="00B00C0F" w:rsidRDefault="00B00C0F">
            <w:pPr>
              <w:rPr>
                <w:rFonts w:ascii="Arial" w:hAnsi="Arial" w:cs="Arial"/>
                <w:color w:val="000000"/>
                <w:sz w:val="12"/>
                <w:szCs w:val="12"/>
              </w:rPr>
            </w:pPr>
            <w:r w:rsidRPr="00B00C0F">
              <w:rPr>
                <w:rFonts w:ascii="Arial" w:hAnsi="Arial" w:cs="Arial"/>
                <w:color w:val="000000"/>
                <w:sz w:val="12"/>
                <w:szCs w:val="12"/>
              </w:rPr>
              <w:t>PU-MET-FAST-008-001</w:t>
            </w:r>
          </w:p>
        </w:tc>
        <w:tc>
          <w:tcPr>
            <w:tcW w:w="450" w:type="dxa"/>
            <w:tcBorders>
              <w:top w:val="nil"/>
              <w:left w:val="nil"/>
              <w:bottom w:val="single" w:sz="4" w:space="0" w:color="000000"/>
              <w:right w:val="single" w:sz="4" w:space="0" w:color="000000"/>
            </w:tcBorders>
            <w:shd w:val="clear" w:color="auto" w:fill="auto"/>
            <w:noWrap/>
            <w:tcMar>
              <w:left w:w="0" w:type="dxa"/>
              <w:right w:w="0" w:type="dxa"/>
            </w:tcMar>
            <w:hideMark/>
          </w:tcPr>
          <w:p w14:paraId="267918A8" w14:textId="77777777" w:rsidR="00B00C0F" w:rsidRPr="00B00C0F" w:rsidRDefault="00B00C0F">
            <w:pPr>
              <w:rPr>
                <w:rFonts w:ascii="Arial" w:hAnsi="Arial" w:cs="Arial"/>
                <w:color w:val="000000"/>
                <w:sz w:val="12"/>
                <w:szCs w:val="12"/>
              </w:rPr>
            </w:pPr>
            <w:r w:rsidRPr="00B00C0F">
              <w:rPr>
                <w:rFonts w:ascii="Arial" w:hAnsi="Arial" w:cs="Arial"/>
                <w:color w:val="000000"/>
                <w:sz w:val="12"/>
                <w:szCs w:val="12"/>
              </w:rPr>
              <w:t>2</w:t>
            </w:r>
          </w:p>
        </w:tc>
        <w:tc>
          <w:tcPr>
            <w:tcW w:w="540" w:type="dxa"/>
            <w:tcBorders>
              <w:top w:val="nil"/>
              <w:left w:val="nil"/>
              <w:bottom w:val="single" w:sz="4" w:space="0" w:color="000000"/>
              <w:right w:val="nil"/>
            </w:tcBorders>
            <w:shd w:val="clear" w:color="auto" w:fill="auto"/>
            <w:noWrap/>
            <w:tcMar>
              <w:left w:w="0" w:type="dxa"/>
              <w:right w:w="0" w:type="dxa"/>
            </w:tcMar>
            <w:hideMark/>
          </w:tcPr>
          <w:p w14:paraId="0EB39E51" w14:textId="77777777" w:rsidR="00B00C0F" w:rsidRPr="00B00C0F" w:rsidRDefault="00B00C0F">
            <w:pPr>
              <w:rPr>
                <w:rFonts w:ascii="Arial" w:hAnsi="Arial" w:cs="Arial"/>
                <w:color w:val="434343"/>
                <w:sz w:val="12"/>
                <w:szCs w:val="12"/>
              </w:rPr>
            </w:pPr>
            <w:r w:rsidRPr="00B00C0F">
              <w:rPr>
                <w:rFonts w:ascii="Arial" w:hAnsi="Arial" w:cs="Arial"/>
                <w:color w:val="434343"/>
                <w:sz w:val="12"/>
                <w:szCs w:val="12"/>
              </w:rPr>
              <w:t>ALL</w:t>
            </w:r>
          </w:p>
        </w:tc>
        <w:tc>
          <w:tcPr>
            <w:tcW w:w="450" w:type="dxa"/>
            <w:tcBorders>
              <w:top w:val="nil"/>
              <w:left w:val="single" w:sz="4" w:space="0" w:color="auto"/>
              <w:bottom w:val="single" w:sz="4" w:space="0" w:color="auto"/>
              <w:right w:val="single" w:sz="4" w:space="0" w:color="auto"/>
            </w:tcBorders>
            <w:shd w:val="clear" w:color="auto" w:fill="auto"/>
            <w:tcMar>
              <w:left w:w="0" w:type="dxa"/>
              <w:right w:w="0" w:type="dxa"/>
            </w:tcMar>
            <w:hideMark/>
          </w:tcPr>
          <w:p w14:paraId="1BCD4AE1" w14:textId="77777777" w:rsidR="00B00C0F" w:rsidRPr="00D42E41" w:rsidRDefault="00B00C0F" w:rsidP="00D42E41">
            <w:pPr>
              <w:jc w:val="center"/>
              <w:rPr>
                <w:rFonts w:ascii="Arial" w:hAnsi="Arial" w:cs="Arial"/>
                <w:b/>
                <w:bCs/>
                <w:color w:val="FFC000"/>
                <w:sz w:val="18"/>
                <w:szCs w:val="18"/>
              </w:rPr>
            </w:pPr>
            <w:r w:rsidRPr="00D42E41">
              <w:rPr>
                <w:rFonts w:ascii="Arial" w:hAnsi="Arial" w:cs="Arial"/>
                <w:b/>
                <w:bCs/>
                <w:color w:val="FFC000"/>
                <w:sz w:val="18"/>
                <w:szCs w:val="18"/>
              </w:rPr>
              <w:t>2</w:t>
            </w:r>
          </w:p>
        </w:tc>
        <w:tc>
          <w:tcPr>
            <w:tcW w:w="450" w:type="dxa"/>
            <w:tcBorders>
              <w:top w:val="nil"/>
              <w:left w:val="nil"/>
              <w:bottom w:val="single" w:sz="4" w:space="0" w:color="auto"/>
              <w:right w:val="single" w:sz="4" w:space="0" w:color="auto"/>
            </w:tcBorders>
            <w:shd w:val="clear" w:color="auto" w:fill="auto"/>
            <w:noWrap/>
            <w:tcMar>
              <w:left w:w="0" w:type="dxa"/>
              <w:right w:w="0" w:type="dxa"/>
            </w:tcMar>
            <w:hideMark/>
          </w:tcPr>
          <w:p w14:paraId="2DBE5379" w14:textId="77777777" w:rsidR="00B00C0F" w:rsidRPr="00B00C0F" w:rsidRDefault="00B00C0F">
            <w:pPr>
              <w:rPr>
                <w:rFonts w:ascii="Arial" w:hAnsi="Arial" w:cs="Arial"/>
                <w:sz w:val="12"/>
                <w:szCs w:val="12"/>
              </w:rPr>
            </w:pPr>
            <w:r w:rsidRPr="00B00C0F">
              <w:rPr>
                <w:rFonts w:ascii="Arial" w:hAnsi="Arial" w:cs="Arial"/>
                <w:sz w:val="12"/>
                <w:szCs w:val="12"/>
              </w:rPr>
              <w:t>U</w:t>
            </w:r>
          </w:p>
        </w:tc>
        <w:tc>
          <w:tcPr>
            <w:tcW w:w="1980" w:type="dxa"/>
            <w:tcBorders>
              <w:top w:val="nil"/>
              <w:left w:val="nil"/>
              <w:bottom w:val="single" w:sz="4" w:space="0" w:color="auto"/>
              <w:right w:val="single" w:sz="4" w:space="0" w:color="auto"/>
            </w:tcBorders>
            <w:shd w:val="clear" w:color="auto" w:fill="auto"/>
            <w:hideMark/>
          </w:tcPr>
          <w:p w14:paraId="79950DDA" w14:textId="36574F80" w:rsidR="00B00C0F" w:rsidRPr="00B00C0F" w:rsidRDefault="00B00C0F" w:rsidP="00B00C0F">
            <w:pPr>
              <w:rPr>
                <w:rFonts w:ascii="Arial" w:hAnsi="Arial" w:cs="Arial"/>
                <w:sz w:val="12"/>
                <w:szCs w:val="12"/>
              </w:rPr>
            </w:pPr>
            <w:r w:rsidRPr="00B00C0F">
              <w:rPr>
                <w:rFonts w:ascii="Arial" w:hAnsi="Arial" w:cs="Arial"/>
                <w:sz w:val="12"/>
                <w:szCs w:val="12"/>
              </w:rPr>
              <w:t xml:space="preserve">Uncertainty of 0.0006- way too small, especially considering the model is an idealized sphere.  All uncertainties were experimentally </w:t>
            </w:r>
            <w:r w:rsidRPr="00B00C0F">
              <w:rPr>
                <w:rFonts w:ascii="Arial" w:hAnsi="Arial" w:cs="Arial"/>
                <w:sz w:val="12"/>
                <w:szCs w:val="12"/>
              </w:rPr>
              <w:t>determined,</w:t>
            </w:r>
            <w:r w:rsidRPr="00B00C0F">
              <w:rPr>
                <w:rFonts w:ascii="Arial" w:hAnsi="Arial" w:cs="Arial"/>
                <w:sz w:val="12"/>
                <w:szCs w:val="12"/>
              </w:rPr>
              <w:t xml:space="preserve"> and no composition or geometry uncertainties were </w:t>
            </w:r>
            <w:r w:rsidRPr="00B00C0F">
              <w:rPr>
                <w:rFonts w:ascii="Arial" w:hAnsi="Arial" w:cs="Arial"/>
                <w:sz w:val="12"/>
                <w:szCs w:val="12"/>
              </w:rPr>
              <w:t>analyzed</w:t>
            </w:r>
            <w:r w:rsidRPr="00B00C0F">
              <w:rPr>
                <w:rFonts w:ascii="Arial" w:hAnsi="Arial" w:cs="Arial"/>
                <w:sz w:val="12"/>
                <w:szCs w:val="12"/>
              </w:rPr>
              <w:t xml:space="preserve">.  No room return or machine uncertainties included.  </w:t>
            </w:r>
          </w:p>
        </w:tc>
        <w:tc>
          <w:tcPr>
            <w:tcW w:w="2520" w:type="dxa"/>
            <w:tcBorders>
              <w:top w:val="nil"/>
              <w:left w:val="nil"/>
              <w:bottom w:val="single" w:sz="4" w:space="0" w:color="auto"/>
              <w:right w:val="single" w:sz="4" w:space="0" w:color="auto"/>
            </w:tcBorders>
            <w:shd w:val="clear" w:color="auto" w:fill="auto"/>
            <w:hideMark/>
          </w:tcPr>
          <w:p w14:paraId="664151ED" w14:textId="77777777" w:rsidR="00B00C0F" w:rsidRPr="00B00C0F" w:rsidRDefault="00B00C0F" w:rsidP="00B00C0F">
            <w:pPr>
              <w:rPr>
                <w:rFonts w:ascii="Arial" w:hAnsi="Arial" w:cs="Arial"/>
                <w:sz w:val="12"/>
                <w:szCs w:val="12"/>
              </w:rPr>
            </w:pPr>
            <w:r w:rsidRPr="00B00C0F">
              <w:rPr>
                <w:rFonts w:ascii="Arial" w:hAnsi="Arial" w:cs="Arial"/>
                <w:sz w:val="12"/>
                <w:szCs w:val="12"/>
              </w:rPr>
              <w:t> </w:t>
            </w:r>
          </w:p>
        </w:tc>
      </w:tr>
      <w:tr w:rsidR="00D42E41" w:rsidRPr="00B00C0F" w14:paraId="334A234B" w14:textId="77777777" w:rsidTr="00D75826">
        <w:trPr>
          <w:trHeight w:val="287"/>
        </w:trPr>
        <w:tc>
          <w:tcPr>
            <w:tcW w:w="1350" w:type="dxa"/>
            <w:tcBorders>
              <w:top w:val="nil"/>
              <w:left w:val="single" w:sz="4" w:space="0" w:color="000000"/>
              <w:bottom w:val="single" w:sz="4" w:space="0" w:color="000000"/>
              <w:right w:val="single" w:sz="4" w:space="0" w:color="000000"/>
            </w:tcBorders>
            <w:shd w:val="clear" w:color="auto" w:fill="auto"/>
            <w:noWrap/>
            <w:tcMar>
              <w:left w:w="0" w:type="dxa"/>
              <w:right w:w="0" w:type="dxa"/>
            </w:tcMar>
            <w:hideMark/>
          </w:tcPr>
          <w:p w14:paraId="1D9D08B8" w14:textId="77777777" w:rsidR="00B00C0F" w:rsidRPr="00B00C0F" w:rsidRDefault="00B00C0F">
            <w:pPr>
              <w:rPr>
                <w:rFonts w:ascii="Arial" w:hAnsi="Arial" w:cs="Arial"/>
                <w:color w:val="000000"/>
                <w:sz w:val="12"/>
                <w:szCs w:val="12"/>
              </w:rPr>
            </w:pPr>
            <w:r w:rsidRPr="00B00C0F">
              <w:rPr>
                <w:rFonts w:ascii="Arial" w:hAnsi="Arial" w:cs="Arial"/>
                <w:color w:val="000000"/>
                <w:sz w:val="12"/>
                <w:szCs w:val="12"/>
              </w:rPr>
              <w:t>PU-SOL-THERM-033</w:t>
            </w:r>
          </w:p>
        </w:tc>
        <w:tc>
          <w:tcPr>
            <w:tcW w:w="1620" w:type="dxa"/>
            <w:tcBorders>
              <w:top w:val="nil"/>
              <w:left w:val="nil"/>
              <w:bottom w:val="single" w:sz="4" w:space="0" w:color="000000"/>
              <w:right w:val="single" w:sz="4" w:space="0" w:color="000000"/>
            </w:tcBorders>
            <w:shd w:val="clear" w:color="auto" w:fill="auto"/>
            <w:noWrap/>
            <w:tcMar>
              <w:left w:w="0" w:type="dxa"/>
              <w:right w:w="0" w:type="dxa"/>
            </w:tcMar>
            <w:hideMark/>
          </w:tcPr>
          <w:p w14:paraId="2C644699" w14:textId="77777777" w:rsidR="00B00C0F" w:rsidRPr="00B00C0F" w:rsidRDefault="00B00C0F">
            <w:pPr>
              <w:rPr>
                <w:rFonts w:ascii="Arial" w:hAnsi="Arial" w:cs="Arial"/>
                <w:color w:val="000000"/>
                <w:sz w:val="12"/>
                <w:szCs w:val="12"/>
              </w:rPr>
            </w:pPr>
            <w:r w:rsidRPr="00B00C0F">
              <w:rPr>
                <w:rFonts w:ascii="Arial" w:hAnsi="Arial" w:cs="Arial"/>
                <w:color w:val="000000"/>
                <w:sz w:val="12"/>
                <w:szCs w:val="12"/>
              </w:rPr>
              <w:t>PU-SOL-THERM-033-001</w:t>
            </w:r>
          </w:p>
        </w:tc>
        <w:tc>
          <w:tcPr>
            <w:tcW w:w="450" w:type="dxa"/>
            <w:tcBorders>
              <w:top w:val="nil"/>
              <w:left w:val="nil"/>
              <w:bottom w:val="single" w:sz="4" w:space="0" w:color="000000"/>
              <w:right w:val="single" w:sz="4" w:space="0" w:color="000000"/>
            </w:tcBorders>
            <w:shd w:val="clear" w:color="auto" w:fill="auto"/>
            <w:noWrap/>
            <w:tcMar>
              <w:left w:w="0" w:type="dxa"/>
              <w:right w:w="0" w:type="dxa"/>
            </w:tcMar>
            <w:hideMark/>
          </w:tcPr>
          <w:p w14:paraId="1DF52790" w14:textId="77777777" w:rsidR="00B00C0F" w:rsidRPr="00B00C0F" w:rsidRDefault="00B00C0F">
            <w:pPr>
              <w:rPr>
                <w:rFonts w:ascii="Arial" w:hAnsi="Arial" w:cs="Arial"/>
                <w:color w:val="000000"/>
                <w:sz w:val="12"/>
                <w:szCs w:val="12"/>
              </w:rPr>
            </w:pPr>
            <w:r w:rsidRPr="00B00C0F">
              <w:rPr>
                <w:rFonts w:ascii="Arial" w:hAnsi="Arial" w:cs="Arial"/>
                <w:color w:val="000000"/>
                <w:sz w:val="12"/>
                <w:szCs w:val="12"/>
              </w:rPr>
              <w:t>0</w:t>
            </w:r>
          </w:p>
        </w:tc>
        <w:tc>
          <w:tcPr>
            <w:tcW w:w="540" w:type="dxa"/>
            <w:tcBorders>
              <w:top w:val="nil"/>
              <w:left w:val="nil"/>
              <w:bottom w:val="single" w:sz="4" w:space="0" w:color="000000"/>
              <w:right w:val="nil"/>
            </w:tcBorders>
            <w:shd w:val="clear" w:color="auto" w:fill="auto"/>
            <w:noWrap/>
            <w:tcMar>
              <w:left w:w="0" w:type="dxa"/>
              <w:right w:w="0" w:type="dxa"/>
            </w:tcMar>
            <w:hideMark/>
          </w:tcPr>
          <w:p w14:paraId="60FB79D4" w14:textId="77777777" w:rsidR="00B00C0F" w:rsidRPr="00B00C0F" w:rsidRDefault="00B00C0F">
            <w:pPr>
              <w:rPr>
                <w:rFonts w:ascii="Arial" w:hAnsi="Arial" w:cs="Arial"/>
                <w:color w:val="434343"/>
                <w:sz w:val="12"/>
                <w:szCs w:val="12"/>
              </w:rPr>
            </w:pPr>
            <w:r w:rsidRPr="00B00C0F">
              <w:rPr>
                <w:rFonts w:ascii="Arial" w:hAnsi="Arial" w:cs="Arial"/>
                <w:color w:val="434343"/>
                <w:sz w:val="12"/>
                <w:szCs w:val="12"/>
              </w:rPr>
              <w:t>ALL</w:t>
            </w:r>
          </w:p>
        </w:tc>
        <w:tc>
          <w:tcPr>
            <w:tcW w:w="450" w:type="dxa"/>
            <w:tcBorders>
              <w:top w:val="nil"/>
              <w:left w:val="single" w:sz="4" w:space="0" w:color="auto"/>
              <w:bottom w:val="single" w:sz="4" w:space="0" w:color="auto"/>
              <w:right w:val="single" w:sz="4" w:space="0" w:color="auto"/>
            </w:tcBorders>
            <w:shd w:val="clear" w:color="auto" w:fill="auto"/>
            <w:noWrap/>
            <w:tcMar>
              <w:left w:w="0" w:type="dxa"/>
              <w:right w:w="0" w:type="dxa"/>
            </w:tcMar>
            <w:hideMark/>
          </w:tcPr>
          <w:p w14:paraId="2A7DB4E6" w14:textId="77777777" w:rsidR="00B00C0F" w:rsidRPr="00D42E41" w:rsidRDefault="00B00C0F" w:rsidP="00D42E41">
            <w:pPr>
              <w:jc w:val="center"/>
              <w:rPr>
                <w:rFonts w:ascii="Arial" w:hAnsi="Arial" w:cs="Arial"/>
                <w:b/>
                <w:bCs/>
                <w:color w:val="FFC000"/>
                <w:sz w:val="18"/>
                <w:szCs w:val="18"/>
              </w:rPr>
            </w:pPr>
            <w:r w:rsidRPr="00D42E41">
              <w:rPr>
                <w:rFonts w:ascii="Arial" w:hAnsi="Arial" w:cs="Arial"/>
                <w:b/>
                <w:bCs/>
                <w:color w:val="FFC000"/>
                <w:sz w:val="18"/>
                <w:szCs w:val="18"/>
              </w:rPr>
              <w:t>2</w:t>
            </w:r>
          </w:p>
        </w:tc>
        <w:tc>
          <w:tcPr>
            <w:tcW w:w="450" w:type="dxa"/>
            <w:tcBorders>
              <w:top w:val="nil"/>
              <w:left w:val="nil"/>
              <w:bottom w:val="single" w:sz="4" w:space="0" w:color="auto"/>
              <w:right w:val="single" w:sz="4" w:space="0" w:color="auto"/>
            </w:tcBorders>
            <w:shd w:val="clear" w:color="auto" w:fill="auto"/>
            <w:noWrap/>
            <w:tcMar>
              <w:left w:w="0" w:type="dxa"/>
              <w:right w:w="0" w:type="dxa"/>
            </w:tcMar>
            <w:hideMark/>
          </w:tcPr>
          <w:p w14:paraId="3391B133" w14:textId="77777777" w:rsidR="00B00C0F" w:rsidRPr="00B00C0F" w:rsidRDefault="00B00C0F">
            <w:pPr>
              <w:rPr>
                <w:rFonts w:ascii="Arial" w:hAnsi="Arial" w:cs="Arial"/>
                <w:color w:val="000000"/>
                <w:sz w:val="12"/>
                <w:szCs w:val="12"/>
              </w:rPr>
            </w:pPr>
            <w:r w:rsidRPr="00B00C0F">
              <w:rPr>
                <w:rFonts w:ascii="Arial" w:hAnsi="Arial" w:cs="Arial"/>
                <w:color w:val="000000"/>
                <w:sz w:val="12"/>
                <w:szCs w:val="12"/>
              </w:rPr>
              <w:t>B</w:t>
            </w:r>
          </w:p>
        </w:tc>
        <w:tc>
          <w:tcPr>
            <w:tcW w:w="1980" w:type="dxa"/>
            <w:tcBorders>
              <w:top w:val="nil"/>
              <w:left w:val="nil"/>
              <w:bottom w:val="single" w:sz="4" w:space="0" w:color="auto"/>
              <w:right w:val="single" w:sz="4" w:space="0" w:color="auto"/>
            </w:tcBorders>
            <w:shd w:val="clear" w:color="auto" w:fill="auto"/>
            <w:hideMark/>
          </w:tcPr>
          <w:p w14:paraId="7747BC9A" w14:textId="77777777" w:rsidR="00B00C0F" w:rsidRPr="00B00C0F" w:rsidRDefault="00B00C0F" w:rsidP="00B00C0F">
            <w:pPr>
              <w:rPr>
                <w:rFonts w:ascii="Arial" w:hAnsi="Arial" w:cs="Arial"/>
                <w:color w:val="000000"/>
                <w:sz w:val="12"/>
                <w:szCs w:val="12"/>
              </w:rPr>
            </w:pPr>
            <w:r w:rsidRPr="00B00C0F">
              <w:rPr>
                <w:rFonts w:ascii="Arial" w:hAnsi="Arial" w:cs="Arial"/>
                <w:color w:val="000000"/>
                <w:sz w:val="12"/>
                <w:szCs w:val="12"/>
              </w:rPr>
              <w:t xml:space="preserve">This series of experiments exhibits an overall underestimation of keff that can be strong and that is not consistent with other PST series. </w:t>
            </w:r>
          </w:p>
        </w:tc>
        <w:tc>
          <w:tcPr>
            <w:tcW w:w="2520" w:type="dxa"/>
            <w:tcBorders>
              <w:top w:val="nil"/>
              <w:left w:val="nil"/>
              <w:bottom w:val="single" w:sz="4" w:space="0" w:color="auto"/>
              <w:right w:val="single" w:sz="4" w:space="0" w:color="auto"/>
            </w:tcBorders>
            <w:shd w:val="clear" w:color="auto" w:fill="auto"/>
            <w:hideMark/>
          </w:tcPr>
          <w:p w14:paraId="161B604D" w14:textId="427AB7B4" w:rsidR="00B00C0F" w:rsidRPr="00B00C0F" w:rsidRDefault="00B00C0F" w:rsidP="00B00C0F">
            <w:pPr>
              <w:rPr>
                <w:rFonts w:ascii="Arial" w:hAnsi="Arial" w:cs="Arial"/>
                <w:color w:val="000000"/>
                <w:sz w:val="12"/>
                <w:szCs w:val="12"/>
              </w:rPr>
            </w:pPr>
            <w:r w:rsidRPr="00B00C0F">
              <w:rPr>
                <w:rFonts w:ascii="Arial" w:hAnsi="Arial" w:cs="Arial"/>
                <w:color w:val="000000"/>
                <w:sz w:val="12"/>
                <w:szCs w:val="12"/>
              </w:rPr>
              <w:t>Pyrex tubes or Ras</w:t>
            </w:r>
            <w:r w:rsidR="00D42E41">
              <w:rPr>
                <w:rFonts w:ascii="Arial" w:hAnsi="Arial" w:cs="Arial"/>
                <w:color w:val="000000"/>
                <w:sz w:val="12"/>
                <w:szCs w:val="12"/>
              </w:rPr>
              <w:t>c</w:t>
            </w:r>
            <w:r w:rsidRPr="00B00C0F">
              <w:rPr>
                <w:rFonts w:ascii="Arial" w:hAnsi="Arial" w:cs="Arial"/>
                <w:color w:val="000000"/>
                <w:sz w:val="12"/>
                <w:szCs w:val="12"/>
              </w:rPr>
              <w:t>hig rings are involved in the configurations; however it is not sure that such discrepancies can be explained by the pyrex tubes or Ras</w:t>
            </w:r>
            <w:r w:rsidR="00D42E41">
              <w:rPr>
                <w:rFonts w:ascii="Arial" w:hAnsi="Arial" w:cs="Arial"/>
                <w:color w:val="000000"/>
                <w:sz w:val="12"/>
                <w:szCs w:val="12"/>
              </w:rPr>
              <w:t>c</w:t>
            </w:r>
            <w:r w:rsidRPr="00B00C0F">
              <w:rPr>
                <w:rFonts w:ascii="Arial" w:hAnsi="Arial" w:cs="Arial"/>
                <w:color w:val="000000"/>
                <w:sz w:val="12"/>
                <w:szCs w:val="12"/>
              </w:rPr>
              <w:t xml:space="preserve">hig rings all the more that some discrepancies are observed even without these absorbers. </w:t>
            </w:r>
            <w:r w:rsidR="00D42E41" w:rsidRPr="00B00C0F">
              <w:rPr>
                <w:rFonts w:ascii="Arial" w:hAnsi="Arial" w:cs="Arial"/>
                <w:color w:val="000000"/>
                <w:sz w:val="12"/>
                <w:szCs w:val="12"/>
              </w:rPr>
              <w:t>Consequently</w:t>
            </w:r>
            <w:r w:rsidRPr="00B00C0F">
              <w:rPr>
                <w:rFonts w:ascii="Arial" w:hAnsi="Arial" w:cs="Arial"/>
                <w:color w:val="000000"/>
                <w:sz w:val="12"/>
                <w:szCs w:val="12"/>
              </w:rPr>
              <w:t>, the composition of the plutonium nitrate solution could be responsible for that tendency and in particular the stoichiometry in nitrate that has been found erroneous for other series.</w:t>
            </w:r>
          </w:p>
        </w:tc>
      </w:tr>
      <w:tr w:rsidR="00D42E41" w:rsidRPr="00B00C0F" w14:paraId="1CF44AFD" w14:textId="77777777" w:rsidTr="00D75826">
        <w:trPr>
          <w:trHeight w:val="719"/>
        </w:trPr>
        <w:tc>
          <w:tcPr>
            <w:tcW w:w="1350" w:type="dxa"/>
            <w:tcBorders>
              <w:top w:val="nil"/>
              <w:left w:val="single" w:sz="4" w:space="0" w:color="000000"/>
              <w:bottom w:val="single" w:sz="4" w:space="0" w:color="000000"/>
              <w:right w:val="single" w:sz="4" w:space="0" w:color="000000"/>
            </w:tcBorders>
            <w:shd w:val="clear" w:color="auto" w:fill="auto"/>
            <w:noWrap/>
            <w:tcMar>
              <w:left w:w="0" w:type="dxa"/>
              <w:right w:w="0" w:type="dxa"/>
            </w:tcMar>
            <w:hideMark/>
          </w:tcPr>
          <w:p w14:paraId="3E38CC5D" w14:textId="77777777" w:rsidR="00B00C0F" w:rsidRPr="00B00C0F" w:rsidRDefault="00B00C0F">
            <w:pPr>
              <w:rPr>
                <w:rFonts w:ascii="Arial" w:hAnsi="Arial" w:cs="Arial"/>
                <w:color w:val="000000"/>
                <w:sz w:val="12"/>
                <w:szCs w:val="12"/>
              </w:rPr>
            </w:pPr>
            <w:r w:rsidRPr="00B00C0F">
              <w:rPr>
                <w:rFonts w:ascii="Arial" w:hAnsi="Arial" w:cs="Arial"/>
                <w:color w:val="000000"/>
                <w:sz w:val="12"/>
                <w:szCs w:val="12"/>
              </w:rPr>
              <w:t>LEU-COMP-THERM-033</w:t>
            </w:r>
          </w:p>
        </w:tc>
        <w:tc>
          <w:tcPr>
            <w:tcW w:w="1620" w:type="dxa"/>
            <w:tcBorders>
              <w:top w:val="nil"/>
              <w:left w:val="nil"/>
              <w:bottom w:val="single" w:sz="4" w:space="0" w:color="000000"/>
              <w:right w:val="single" w:sz="4" w:space="0" w:color="000000"/>
            </w:tcBorders>
            <w:shd w:val="clear" w:color="auto" w:fill="auto"/>
            <w:noWrap/>
            <w:tcMar>
              <w:left w:w="0" w:type="dxa"/>
              <w:right w:w="0" w:type="dxa"/>
            </w:tcMar>
            <w:hideMark/>
          </w:tcPr>
          <w:p w14:paraId="2404D6A4" w14:textId="77777777" w:rsidR="00B00C0F" w:rsidRPr="00B00C0F" w:rsidRDefault="00B00C0F">
            <w:pPr>
              <w:rPr>
                <w:rFonts w:ascii="Arial" w:hAnsi="Arial" w:cs="Arial"/>
                <w:color w:val="000000"/>
                <w:sz w:val="12"/>
                <w:szCs w:val="12"/>
              </w:rPr>
            </w:pPr>
            <w:r w:rsidRPr="00B00C0F">
              <w:rPr>
                <w:rFonts w:ascii="Arial" w:hAnsi="Arial" w:cs="Arial"/>
                <w:color w:val="000000"/>
                <w:sz w:val="12"/>
                <w:szCs w:val="12"/>
              </w:rPr>
              <w:t>LEU-COMP-THERM-033-001</w:t>
            </w:r>
          </w:p>
        </w:tc>
        <w:tc>
          <w:tcPr>
            <w:tcW w:w="450" w:type="dxa"/>
            <w:tcBorders>
              <w:top w:val="nil"/>
              <w:left w:val="nil"/>
              <w:bottom w:val="single" w:sz="4" w:space="0" w:color="000000"/>
              <w:right w:val="single" w:sz="4" w:space="0" w:color="000000"/>
            </w:tcBorders>
            <w:shd w:val="clear" w:color="auto" w:fill="auto"/>
            <w:noWrap/>
            <w:tcMar>
              <w:left w:w="0" w:type="dxa"/>
              <w:right w:w="0" w:type="dxa"/>
            </w:tcMar>
            <w:hideMark/>
          </w:tcPr>
          <w:p w14:paraId="68AB16A9" w14:textId="77777777" w:rsidR="00B00C0F" w:rsidRPr="00B00C0F" w:rsidRDefault="00B00C0F">
            <w:pPr>
              <w:rPr>
                <w:rFonts w:ascii="Arial" w:hAnsi="Arial" w:cs="Arial"/>
                <w:color w:val="000000"/>
                <w:sz w:val="12"/>
                <w:szCs w:val="12"/>
              </w:rPr>
            </w:pPr>
            <w:r w:rsidRPr="00B00C0F">
              <w:rPr>
                <w:rFonts w:ascii="Arial" w:hAnsi="Arial" w:cs="Arial"/>
                <w:color w:val="000000"/>
                <w:sz w:val="12"/>
                <w:szCs w:val="12"/>
              </w:rPr>
              <w:t>0</w:t>
            </w:r>
          </w:p>
        </w:tc>
        <w:tc>
          <w:tcPr>
            <w:tcW w:w="540" w:type="dxa"/>
            <w:tcBorders>
              <w:top w:val="nil"/>
              <w:left w:val="nil"/>
              <w:bottom w:val="single" w:sz="4" w:space="0" w:color="000000"/>
              <w:right w:val="nil"/>
            </w:tcBorders>
            <w:shd w:val="clear" w:color="auto" w:fill="auto"/>
            <w:noWrap/>
            <w:tcMar>
              <w:left w:w="0" w:type="dxa"/>
              <w:right w:w="0" w:type="dxa"/>
            </w:tcMar>
            <w:hideMark/>
          </w:tcPr>
          <w:p w14:paraId="06913D5F" w14:textId="77777777" w:rsidR="00B00C0F" w:rsidRPr="00B00C0F" w:rsidRDefault="00B00C0F">
            <w:pPr>
              <w:rPr>
                <w:rFonts w:ascii="Arial" w:hAnsi="Arial" w:cs="Arial"/>
                <w:color w:val="434343"/>
                <w:sz w:val="12"/>
                <w:szCs w:val="12"/>
              </w:rPr>
            </w:pPr>
            <w:r w:rsidRPr="00B00C0F">
              <w:rPr>
                <w:rFonts w:ascii="Arial" w:hAnsi="Arial" w:cs="Arial"/>
                <w:color w:val="434343"/>
                <w:sz w:val="12"/>
                <w:szCs w:val="12"/>
              </w:rPr>
              <w:t>ALL</w:t>
            </w:r>
          </w:p>
        </w:tc>
        <w:tc>
          <w:tcPr>
            <w:tcW w:w="450" w:type="dxa"/>
            <w:tcBorders>
              <w:top w:val="nil"/>
              <w:left w:val="single" w:sz="4" w:space="0" w:color="auto"/>
              <w:bottom w:val="single" w:sz="4" w:space="0" w:color="auto"/>
              <w:right w:val="single" w:sz="4" w:space="0" w:color="auto"/>
            </w:tcBorders>
            <w:shd w:val="clear" w:color="auto" w:fill="auto"/>
            <w:noWrap/>
            <w:tcMar>
              <w:left w:w="0" w:type="dxa"/>
              <w:right w:w="0" w:type="dxa"/>
            </w:tcMar>
            <w:hideMark/>
          </w:tcPr>
          <w:p w14:paraId="0CEC0F2D" w14:textId="77777777" w:rsidR="00B00C0F" w:rsidRPr="00D42E41" w:rsidRDefault="00B00C0F" w:rsidP="00D42E41">
            <w:pPr>
              <w:jc w:val="center"/>
              <w:rPr>
                <w:rFonts w:ascii="Arial" w:hAnsi="Arial" w:cs="Arial"/>
                <w:b/>
                <w:bCs/>
                <w:color w:val="FFC000"/>
                <w:sz w:val="18"/>
                <w:szCs w:val="18"/>
              </w:rPr>
            </w:pPr>
            <w:r w:rsidRPr="00D42E41">
              <w:rPr>
                <w:rFonts w:ascii="Arial" w:hAnsi="Arial" w:cs="Arial"/>
                <w:b/>
                <w:bCs/>
                <w:color w:val="FFC000"/>
                <w:sz w:val="18"/>
                <w:szCs w:val="18"/>
              </w:rPr>
              <w:t>2</w:t>
            </w:r>
          </w:p>
        </w:tc>
        <w:tc>
          <w:tcPr>
            <w:tcW w:w="450" w:type="dxa"/>
            <w:tcBorders>
              <w:top w:val="nil"/>
              <w:left w:val="nil"/>
              <w:bottom w:val="single" w:sz="4" w:space="0" w:color="auto"/>
              <w:right w:val="single" w:sz="4" w:space="0" w:color="auto"/>
            </w:tcBorders>
            <w:shd w:val="clear" w:color="auto" w:fill="auto"/>
            <w:noWrap/>
            <w:tcMar>
              <w:left w:w="0" w:type="dxa"/>
              <w:right w:w="0" w:type="dxa"/>
            </w:tcMar>
            <w:hideMark/>
          </w:tcPr>
          <w:p w14:paraId="570EE486" w14:textId="77777777" w:rsidR="00B00C0F" w:rsidRPr="00B00C0F" w:rsidRDefault="00B00C0F">
            <w:pPr>
              <w:rPr>
                <w:rFonts w:ascii="Arial" w:hAnsi="Arial" w:cs="Arial"/>
                <w:color w:val="000000"/>
                <w:sz w:val="12"/>
                <w:szCs w:val="12"/>
              </w:rPr>
            </w:pPr>
            <w:r w:rsidRPr="00B00C0F">
              <w:rPr>
                <w:rFonts w:ascii="Arial" w:hAnsi="Arial" w:cs="Arial"/>
                <w:color w:val="000000"/>
                <w:sz w:val="12"/>
                <w:szCs w:val="12"/>
              </w:rPr>
              <w:t>B</w:t>
            </w:r>
          </w:p>
        </w:tc>
        <w:tc>
          <w:tcPr>
            <w:tcW w:w="1980" w:type="dxa"/>
            <w:tcBorders>
              <w:top w:val="nil"/>
              <w:left w:val="nil"/>
              <w:bottom w:val="single" w:sz="4" w:space="0" w:color="auto"/>
              <w:right w:val="single" w:sz="4" w:space="0" w:color="auto"/>
            </w:tcBorders>
            <w:shd w:val="clear" w:color="auto" w:fill="auto"/>
            <w:hideMark/>
          </w:tcPr>
          <w:p w14:paraId="7161C4D7" w14:textId="67CA60A9" w:rsidR="00B00C0F" w:rsidRPr="00B00C0F" w:rsidRDefault="00B00C0F" w:rsidP="00B00C0F">
            <w:pPr>
              <w:rPr>
                <w:rFonts w:ascii="Arial" w:hAnsi="Arial" w:cs="Arial"/>
                <w:color w:val="000000"/>
                <w:sz w:val="12"/>
                <w:szCs w:val="12"/>
              </w:rPr>
            </w:pPr>
            <w:r w:rsidRPr="00B00C0F">
              <w:rPr>
                <w:rFonts w:ascii="Arial" w:hAnsi="Arial" w:cs="Arial"/>
                <w:color w:val="000000"/>
                <w:sz w:val="12"/>
                <w:szCs w:val="12"/>
              </w:rPr>
              <w:t xml:space="preserve">Calculations using various </w:t>
            </w:r>
            <w:r w:rsidRPr="00B00C0F">
              <w:rPr>
                <w:rFonts w:ascii="Arial" w:hAnsi="Arial" w:cs="Arial"/>
                <w:color w:val="000000"/>
                <w:sz w:val="12"/>
                <w:szCs w:val="12"/>
              </w:rPr>
              <w:t>libraries</w:t>
            </w:r>
            <w:r w:rsidRPr="00B00C0F">
              <w:rPr>
                <w:rFonts w:ascii="Arial" w:hAnsi="Arial" w:cs="Arial"/>
                <w:color w:val="000000"/>
                <w:sz w:val="12"/>
                <w:szCs w:val="12"/>
              </w:rPr>
              <w:t xml:space="preserve"> </w:t>
            </w:r>
            <w:r w:rsidRPr="00B00C0F">
              <w:rPr>
                <w:rFonts w:ascii="Arial" w:hAnsi="Arial" w:cs="Arial"/>
                <w:color w:val="000000"/>
                <w:sz w:val="12"/>
                <w:szCs w:val="12"/>
              </w:rPr>
              <w:t>highlighted</w:t>
            </w:r>
            <w:r w:rsidRPr="00B00C0F">
              <w:rPr>
                <w:rFonts w:ascii="Arial" w:hAnsi="Arial" w:cs="Arial"/>
                <w:color w:val="000000"/>
                <w:sz w:val="12"/>
                <w:szCs w:val="12"/>
              </w:rPr>
              <w:t xml:space="preserve"> relatively higher keff values for the 3%-enriched uranium (Cases 17 to 22 and 47 to 52). Experimental keff uncertainties are of the same order whatever the U235 enrichment. Need to check information about the 3% enriched UF4 powder.</w:t>
            </w:r>
          </w:p>
        </w:tc>
        <w:tc>
          <w:tcPr>
            <w:tcW w:w="2520" w:type="dxa"/>
            <w:tcBorders>
              <w:top w:val="nil"/>
              <w:left w:val="nil"/>
              <w:bottom w:val="single" w:sz="4" w:space="0" w:color="auto"/>
              <w:right w:val="single" w:sz="4" w:space="0" w:color="auto"/>
            </w:tcBorders>
            <w:shd w:val="clear" w:color="auto" w:fill="auto"/>
            <w:hideMark/>
          </w:tcPr>
          <w:p w14:paraId="4EC955FB" w14:textId="466B3A2F" w:rsidR="00B00C0F" w:rsidRPr="00B00C0F" w:rsidRDefault="00B00C0F" w:rsidP="00B00C0F">
            <w:pPr>
              <w:rPr>
                <w:rFonts w:ascii="Arial" w:hAnsi="Arial" w:cs="Arial"/>
                <w:color w:val="000000"/>
                <w:sz w:val="12"/>
                <w:szCs w:val="12"/>
              </w:rPr>
            </w:pPr>
            <w:r w:rsidRPr="00B00C0F">
              <w:rPr>
                <w:rFonts w:ascii="Arial" w:hAnsi="Arial" w:cs="Arial"/>
                <w:color w:val="000000"/>
                <w:sz w:val="12"/>
                <w:szCs w:val="12"/>
              </w:rPr>
              <w:t xml:space="preserve">Homogeneous mixtures </w:t>
            </w:r>
            <w:r w:rsidRPr="00B00C0F">
              <w:rPr>
                <w:rFonts w:ascii="Arial" w:hAnsi="Arial" w:cs="Arial"/>
                <w:color w:val="000000"/>
                <w:sz w:val="12"/>
                <w:szCs w:val="12"/>
              </w:rPr>
              <w:t>of divided</w:t>
            </w:r>
            <w:r w:rsidRPr="00B00C0F">
              <w:rPr>
                <w:rFonts w:ascii="Arial" w:hAnsi="Arial" w:cs="Arial"/>
                <w:color w:val="000000"/>
                <w:sz w:val="12"/>
                <w:szCs w:val="12"/>
              </w:rPr>
              <w:t xml:space="preserve"> uranium fluoride (UF4) dispersed in paraffin. The uranium fluoride was dispersed in the paraffin to produce essentially homogeneous</w:t>
            </w:r>
            <w:r w:rsidRPr="00B00C0F">
              <w:rPr>
                <w:rFonts w:ascii="Arial" w:hAnsi="Arial" w:cs="Arial"/>
                <w:color w:val="000000"/>
                <w:sz w:val="12"/>
                <w:szCs w:val="12"/>
              </w:rPr>
              <w:br/>
              <w:t>mixtures with H/U atomic ratios ranging from 4 to 20. The uranium in the fuel mixtures contained either 2 or 3 wt.% 235U.</w:t>
            </w:r>
          </w:p>
        </w:tc>
      </w:tr>
      <w:tr w:rsidR="00D42E41" w:rsidRPr="00B00C0F" w14:paraId="290DE4E3" w14:textId="77777777" w:rsidTr="00D75826">
        <w:trPr>
          <w:trHeight w:val="46"/>
        </w:trPr>
        <w:tc>
          <w:tcPr>
            <w:tcW w:w="1350" w:type="dxa"/>
            <w:tcBorders>
              <w:top w:val="nil"/>
              <w:left w:val="single" w:sz="4" w:space="0" w:color="000000"/>
              <w:bottom w:val="single" w:sz="4" w:space="0" w:color="000000"/>
              <w:right w:val="single" w:sz="4" w:space="0" w:color="000000"/>
            </w:tcBorders>
            <w:shd w:val="clear" w:color="auto" w:fill="auto"/>
            <w:noWrap/>
            <w:tcMar>
              <w:left w:w="0" w:type="dxa"/>
              <w:right w:w="0" w:type="dxa"/>
            </w:tcMar>
            <w:hideMark/>
          </w:tcPr>
          <w:p w14:paraId="62ED865A" w14:textId="77777777" w:rsidR="00B00C0F" w:rsidRPr="00B00C0F" w:rsidRDefault="00B00C0F">
            <w:pPr>
              <w:rPr>
                <w:rFonts w:ascii="Arial" w:hAnsi="Arial" w:cs="Arial"/>
                <w:color w:val="000000"/>
                <w:sz w:val="12"/>
                <w:szCs w:val="12"/>
              </w:rPr>
            </w:pPr>
            <w:r w:rsidRPr="00B00C0F">
              <w:rPr>
                <w:rFonts w:ascii="Arial" w:hAnsi="Arial" w:cs="Arial"/>
                <w:color w:val="000000"/>
                <w:sz w:val="12"/>
                <w:szCs w:val="12"/>
              </w:rPr>
              <w:t>MIX-SOL-THERM-010</w:t>
            </w:r>
          </w:p>
        </w:tc>
        <w:tc>
          <w:tcPr>
            <w:tcW w:w="1620" w:type="dxa"/>
            <w:tcBorders>
              <w:top w:val="nil"/>
              <w:left w:val="nil"/>
              <w:bottom w:val="single" w:sz="4" w:space="0" w:color="000000"/>
              <w:right w:val="single" w:sz="4" w:space="0" w:color="000000"/>
            </w:tcBorders>
            <w:shd w:val="clear" w:color="auto" w:fill="auto"/>
            <w:noWrap/>
            <w:tcMar>
              <w:left w:w="0" w:type="dxa"/>
              <w:right w:w="0" w:type="dxa"/>
            </w:tcMar>
            <w:hideMark/>
          </w:tcPr>
          <w:p w14:paraId="4D481E9C" w14:textId="77777777" w:rsidR="00B00C0F" w:rsidRPr="00B00C0F" w:rsidRDefault="00B00C0F">
            <w:pPr>
              <w:rPr>
                <w:rFonts w:ascii="Arial" w:hAnsi="Arial" w:cs="Arial"/>
                <w:color w:val="000000"/>
                <w:sz w:val="12"/>
                <w:szCs w:val="12"/>
              </w:rPr>
            </w:pPr>
            <w:r w:rsidRPr="00B00C0F">
              <w:rPr>
                <w:rFonts w:ascii="Arial" w:hAnsi="Arial" w:cs="Arial"/>
                <w:color w:val="000000"/>
                <w:sz w:val="12"/>
                <w:szCs w:val="12"/>
              </w:rPr>
              <w:t>MIX-SOL-THERM-010-001</w:t>
            </w:r>
          </w:p>
        </w:tc>
        <w:tc>
          <w:tcPr>
            <w:tcW w:w="450" w:type="dxa"/>
            <w:tcBorders>
              <w:top w:val="nil"/>
              <w:left w:val="nil"/>
              <w:bottom w:val="single" w:sz="4" w:space="0" w:color="000000"/>
              <w:right w:val="single" w:sz="4" w:space="0" w:color="000000"/>
            </w:tcBorders>
            <w:shd w:val="clear" w:color="auto" w:fill="auto"/>
            <w:noWrap/>
            <w:tcMar>
              <w:left w:w="0" w:type="dxa"/>
              <w:right w:w="0" w:type="dxa"/>
            </w:tcMar>
            <w:hideMark/>
          </w:tcPr>
          <w:p w14:paraId="62CB206F" w14:textId="77777777" w:rsidR="00B00C0F" w:rsidRPr="00B00C0F" w:rsidRDefault="00B00C0F">
            <w:pPr>
              <w:rPr>
                <w:rFonts w:ascii="Arial" w:hAnsi="Arial" w:cs="Arial"/>
                <w:color w:val="000000"/>
                <w:sz w:val="12"/>
                <w:szCs w:val="12"/>
              </w:rPr>
            </w:pPr>
            <w:r w:rsidRPr="00B00C0F">
              <w:rPr>
                <w:rFonts w:ascii="Arial" w:hAnsi="Arial" w:cs="Arial"/>
                <w:color w:val="000000"/>
                <w:sz w:val="12"/>
                <w:szCs w:val="12"/>
              </w:rPr>
              <w:t>0</w:t>
            </w:r>
          </w:p>
        </w:tc>
        <w:tc>
          <w:tcPr>
            <w:tcW w:w="540" w:type="dxa"/>
            <w:tcBorders>
              <w:top w:val="nil"/>
              <w:left w:val="nil"/>
              <w:bottom w:val="single" w:sz="4" w:space="0" w:color="000000"/>
              <w:right w:val="nil"/>
            </w:tcBorders>
            <w:shd w:val="clear" w:color="auto" w:fill="auto"/>
            <w:noWrap/>
            <w:tcMar>
              <w:left w:w="0" w:type="dxa"/>
              <w:right w:w="0" w:type="dxa"/>
            </w:tcMar>
            <w:hideMark/>
          </w:tcPr>
          <w:p w14:paraId="25A83365" w14:textId="77777777" w:rsidR="00B00C0F" w:rsidRPr="00B00C0F" w:rsidRDefault="00B00C0F">
            <w:pPr>
              <w:rPr>
                <w:rFonts w:ascii="Arial" w:hAnsi="Arial" w:cs="Arial"/>
                <w:color w:val="434343"/>
                <w:sz w:val="12"/>
                <w:szCs w:val="12"/>
              </w:rPr>
            </w:pPr>
            <w:r w:rsidRPr="00B00C0F">
              <w:rPr>
                <w:rFonts w:ascii="Arial" w:hAnsi="Arial" w:cs="Arial"/>
                <w:color w:val="434343"/>
                <w:sz w:val="12"/>
                <w:szCs w:val="12"/>
              </w:rPr>
              <w:t>ALL</w:t>
            </w:r>
          </w:p>
        </w:tc>
        <w:tc>
          <w:tcPr>
            <w:tcW w:w="450" w:type="dxa"/>
            <w:tcBorders>
              <w:top w:val="nil"/>
              <w:left w:val="single" w:sz="4" w:space="0" w:color="auto"/>
              <w:bottom w:val="single" w:sz="4" w:space="0" w:color="auto"/>
              <w:right w:val="single" w:sz="4" w:space="0" w:color="auto"/>
            </w:tcBorders>
            <w:shd w:val="clear" w:color="auto" w:fill="auto"/>
            <w:noWrap/>
            <w:tcMar>
              <w:left w:w="0" w:type="dxa"/>
              <w:right w:w="0" w:type="dxa"/>
            </w:tcMar>
            <w:hideMark/>
          </w:tcPr>
          <w:p w14:paraId="40C860D7" w14:textId="77777777" w:rsidR="00B00C0F" w:rsidRPr="00D42E41" w:rsidRDefault="00B00C0F" w:rsidP="00D42E41">
            <w:pPr>
              <w:jc w:val="center"/>
              <w:rPr>
                <w:rFonts w:ascii="Arial" w:hAnsi="Arial" w:cs="Arial"/>
                <w:b/>
                <w:bCs/>
                <w:color w:val="FFC000"/>
                <w:sz w:val="18"/>
                <w:szCs w:val="18"/>
              </w:rPr>
            </w:pPr>
            <w:r w:rsidRPr="00D42E41">
              <w:rPr>
                <w:rFonts w:ascii="Arial" w:hAnsi="Arial" w:cs="Arial"/>
                <w:b/>
                <w:bCs/>
                <w:color w:val="FFC000"/>
                <w:sz w:val="18"/>
                <w:szCs w:val="18"/>
              </w:rPr>
              <w:t>2</w:t>
            </w:r>
          </w:p>
        </w:tc>
        <w:tc>
          <w:tcPr>
            <w:tcW w:w="450" w:type="dxa"/>
            <w:tcBorders>
              <w:top w:val="nil"/>
              <w:left w:val="nil"/>
              <w:bottom w:val="single" w:sz="4" w:space="0" w:color="auto"/>
              <w:right w:val="single" w:sz="4" w:space="0" w:color="auto"/>
            </w:tcBorders>
            <w:shd w:val="clear" w:color="auto" w:fill="auto"/>
            <w:noWrap/>
            <w:tcMar>
              <w:left w:w="0" w:type="dxa"/>
              <w:right w:w="0" w:type="dxa"/>
            </w:tcMar>
            <w:hideMark/>
          </w:tcPr>
          <w:p w14:paraId="6237E5F4" w14:textId="77777777" w:rsidR="00B00C0F" w:rsidRPr="00B00C0F" w:rsidRDefault="00B00C0F">
            <w:pPr>
              <w:rPr>
                <w:rFonts w:ascii="Arial" w:hAnsi="Arial" w:cs="Arial"/>
                <w:color w:val="000000"/>
                <w:sz w:val="12"/>
                <w:szCs w:val="12"/>
              </w:rPr>
            </w:pPr>
            <w:r w:rsidRPr="00B00C0F">
              <w:rPr>
                <w:rFonts w:ascii="Arial" w:hAnsi="Arial" w:cs="Arial"/>
                <w:color w:val="000000"/>
                <w:sz w:val="12"/>
                <w:szCs w:val="12"/>
              </w:rPr>
              <w:t>B, U</w:t>
            </w:r>
          </w:p>
        </w:tc>
        <w:tc>
          <w:tcPr>
            <w:tcW w:w="1980" w:type="dxa"/>
            <w:tcBorders>
              <w:top w:val="nil"/>
              <w:left w:val="nil"/>
              <w:bottom w:val="single" w:sz="4" w:space="0" w:color="auto"/>
              <w:right w:val="single" w:sz="4" w:space="0" w:color="auto"/>
            </w:tcBorders>
            <w:shd w:val="clear" w:color="auto" w:fill="auto"/>
            <w:hideMark/>
          </w:tcPr>
          <w:p w14:paraId="157DB748" w14:textId="77777777" w:rsidR="00B00C0F" w:rsidRPr="00B00C0F" w:rsidRDefault="00B00C0F" w:rsidP="00B00C0F">
            <w:pPr>
              <w:rPr>
                <w:rFonts w:ascii="Arial" w:hAnsi="Arial" w:cs="Arial"/>
                <w:color w:val="000000"/>
                <w:sz w:val="12"/>
                <w:szCs w:val="12"/>
              </w:rPr>
            </w:pPr>
            <w:r w:rsidRPr="00B00C0F">
              <w:rPr>
                <w:rFonts w:ascii="Arial" w:hAnsi="Arial" w:cs="Arial"/>
                <w:color w:val="000000"/>
                <w:sz w:val="12"/>
                <w:szCs w:val="12"/>
              </w:rPr>
              <w:t xml:space="preserve">The uncertainty in Fe and other impurities discussed in Section 2.1.8 is treated as a bias and not an uncertainty.  It seems that this should be treated as an uncertainty.  </w:t>
            </w:r>
          </w:p>
        </w:tc>
        <w:tc>
          <w:tcPr>
            <w:tcW w:w="2520" w:type="dxa"/>
            <w:tcBorders>
              <w:top w:val="nil"/>
              <w:left w:val="nil"/>
              <w:bottom w:val="single" w:sz="4" w:space="0" w:color="auto"/>
              <w:right w:val="single" w:sz="4" w:space="0" w:color="auto"/>
            </w:tcBorders>
            <w:shd w:val="clear" w:color="auto" w:fill="auto"/>
            <w:hideMark/>
          </w:tcPr>
          <w:p w14:paraId="12ECFF61" w14:textId="77777777" w:rsidR="00B00C0F" w:rsidRPr="00B00C0F" w:rsidRDefault="00B00C0F" w:rsidP="00B00C0F">
            <w:pPr>
              <w:rPr>
                <w:rFonts w:ascii="Arial" w:hAnsi="Arial" w:cs="Arial"/>
                <w:color w:val="000000"/>
                <w:sz w:val="12"/>
                <w:szCs w:val="12"/>
              </w:rPr>
            </w:pPr>
            <w:r w:rsidRPr="00B00C0F">
              <w:rPr>
                <w:rFonts w:ascii="Arial" w:hAnsi="Arial" w:cs="Arial"/>
                <w:color w:val="000000"/>
                <w:sz w:val="12"/>
                <w:szCs w:val="12"/>
              </w:rPr>
              <w:t>If these biases are treated as uncertainties, calculated and expected results agree better for a number of codes and cross section sets.</w:t>
            </w:r>
          </w:p>
        </w:tc>
      </w:tr>
      <w:tr w:rsidR="00D42E41" w:rsidRPr="00B00C0F" w14:paraId="4960A60A" w14:textId="77777777" w:rsidTr="00D75826">
        <w:trPr>
          <w:trHeight w:val="260"/>
        </w:trPr>
        <w:tc>
          <w:tcPr>
            <w:tcW w:w="1350" w:type="dxa"/>
            <w:tcBorders>
              <w:top w:val="nil"/>
              <w:left w:val="single" w:sz="4" w:space="0" w:color="000000"/>
              <w:bottom w:val="single" w:sz="4" w:space="0" w:color="000000"/>
              <w:right w:val="single" w:sz="4" w:space="0" w:color="000000"/>
            </w:tcBorders>
            <w:shd w:val="clear" w:color="auto" w:fill="auto"/>
            <w:noWrap/>
            <w:tcMar>
              <w:left w:w="0" w:type="dxa"/>
              <w:right w:w="0" w:type="dxa"/>
            </w:tcMar>
            <w:hideMark/>
          </w:tcPr>
          <w:p w14:paraId="1512983B" w14:textId="77777777" w:rsidR="00B00C0F" w:rsidRPr="00B00C0F" w:rsidRDefault="00B00C0F">
            <w:pPr>
              <w:rPr>
                <w:rFonts w:ascii="Arial" w:hAnsi="Arial" w:cs="Arial"/>
                <w:color w:val="000000"/>
                <w:sz w:val="12"/>
                <w:szCs w:val="12"/>
              </w:rPr>
            </w:pPr>
            <w:r w:rsidRPr="00B00C0F">
              <w:rPr>
                <w:rFonts w:ascii="Arial" w:hAnsi="Arial" w:cs="Arial"/>
                <w:color w:val="000000"/>
                <w:sz w:val="12"/>
                <w:szCs w:val="12"/>
              </w:rPr>
              <w:t>PU-COMP-MIXED-002</w:t>
            </w:r>
          </w:p>
        </w:tc>
        <w:tc>
          <w:tcPr>
            <w:tcW w:w="1620" w:type="dxa"/>
            <w:tcBorders>
              <w:top w:val="nil"/>
              <w:left w:val="nil"/>
              <w:bottom w:val="single" w:sz="4" w:space="0" w:color="000000"/>
              <w:right w:val="single" w:sz="4" w:space="0" w:color="000000"/>
            </w:tcBorders>
            <w:shd w:val="clear" w:color="auto" w:fill="auto"/>
            <w:noWrap/>
            <w:tcMar>
              <w:left w:w="0" w:type="dxa"/>
              <w:right w:w="0" w:type="dxa"/>
            </w:tcMar>
            <w:hideMark/>
          </w:tcPr>
          <w:p w14:paraId="0566D904" w14:textId="77777777" w:rsidR="00B00C0F" w:rsidRPr="00B00C0F" w:rsidRDefault="00B00C0F">
            <w:pPr>
              <w:rPr>
                <w:rFonts w:ascii="Arial" w:hAnsi="Arial" w:cs="Arial"/>
                <w:color w:val="000000"/>
                <w:sz w:val="12"/>
                <w:szCs w:val="12"/>
              </w:rPr>
            </w:pPr>
            <w:r w:rsidRPr="00B00C0F">
              <w:rPr>
                <w:rFonts w:ascii="Arial" w:hAnsi="Arial" w:cs="Arial"/>
                <w:color w:val="000000"/>
                <w:sz w:val="12"/>
                <w:szCs w:val="12"/>
              </w:rPr>
              <w:t>PU-COMP-MIXED-002-006</w:t>
            </w:r>
          </w:p>
        </w:tc>
        <w:tc>
          <w:tcPr>
            <w:tcW w:w="450" w:type="dxa"/>
            <w:tcBorders>
              <w:top w:val="nil"/>
              <w:left w:val="nil"/>
              <w:bottom w:val="single" w:sz="4" w:space="0" w:color="000000"/>
              <w:right w:val="single" w:sz="4" w:space="0" w:color="000000"/>
            </w:tcBorders>
            <w:shd w:val="clear" w:color="auto" w:fill="auto"/>
            <w:noWrap/>
            <w:tcMar>
              <w:left w:w="0" w:type="dxa"/>
              <w:right w:w="0" w:type="dxa"/>
            </w:tcMar>
            <w:hideMark/>
          </w:tcPr>
          <w:p w14:paraId="55A0302A" w14:textId="77777777" w:rsidR="00B00C0F" w:rsidRPr="00B00C0F" w:rsidRDefault="00B00C0F">
            <w:pPr>
              <w:rPr>
                <w:rFonts w:ascii="Arial" w:hAnsi="Arial" w:cs="Arial"/>
                <w:color w:val="000000"/>
                <w:sz w:val="12"/>
                <w:szCs w:val="12"/>
              </w:rPr>
            </w:pPr>
            <w:r w:rsidRPr="00B00C0F">
              <w:rPr>
                <w:rFonts w:ascii="Arial" w:hAnsi="Arial" w:cs="Arial"/>
                <w:color w:val="000000"/>
                <w:sz w:val="12"/>
                <w:szCs w:val="12"/>
              </w:rPr>
              <w:t>0</w:t>
            </w:r>
          </w:p>
        </w:tc>
        <w:tc>
          <w:tcPr>
            <w:tcW w:w="540" w:type="dxa"/>
            <w:tcBorders>
              <w:top w:val="nil"/>
              <w:left w:val="nil"/>
              <w:bottom w:val="single" w:sz="4" w:space="0" w:color="000000"/>
              <w:right w:val="nil"/>
            </w:tcBorders>
            <w:shd w:val="clear" w:color="auto" w:fill="auto"/>
            <w:noWrap/>
            <w:tcMar>
              <w:left w:w="0" w:type="dxa"/>
              <w:right w:w="0" w:type="dxa"/>
            </w:tcMar>
            <w:hideMark/>
          </w:tcPr>
          <w:p w14:paraId="7D64A08F" w14:textId="77777777" w:rsidR="00B00C0F" w:rsidRPr="00B00C0F" w:rsidRDefault="00B00C0F">
            <w:pPr>
              <w:rPr>
                <w:rFonts w:ascii="Arial" w:hAnsi="Arial" w:cs="Arial"/>
                <w:color w:val="434343"/>
                <w:sz w:val="12"/>
                <w:szCs w:val="12"/>
              </w:rPr>
            </w:pPr>
            <w:r w:rsidRPr="00B00C0F">
              <w:rPr>
                <w:rFonts w:ascii="Arial" w:hAnsi="Arial" w:cs="Arial"/>
                <w:color w:val="434343"/>
                <w:sz w:val="12"/>
                <w:szCs w:val="12"/>
              </w:rPr>
              <w:t>6,7,8,9,19,20,21,22</w:t>
            </w:r>
          </w:p>
        </w:tc>
        <w:tc>
          <w:tcPr>
            <w:tcW w:w="450" w:type="dxa"/>
            <w:tcBorders>
              <w:top w:val="nil"/>
              <w:left w:val="single" w:sz="4" w:space="0" w:color="auto"/>
              <w:bottom w:val="single" w:sz="4" w:space="0" w:color="auto"/>
              <w:right w:val="single" w:sz="4" w:space="0" w:color="auto"/>
            </w:tcBorders>
            <w:shd w:val="clear" w:color="auto" w:fill="auto"/>
            <w:noWrap/>
            <w:tcMar>
              <w:left w:w="0" w:type="dxa"/>
              <w:right w:w="0" w:type="dxa"/>
            </w:tcMar>
            <w:hideMark/>
          </w:tcPr>
          <w:p w14:paraId="18707DF8" w14:textId="77777777" w:rsidR="00B00C0F" w:rsidRPr="00D42E41" w:rsidRDefault="00B00C0F" w:rsidP="00D42E41">
            <w:pPr>
              <w:jc w:val="center"/>
              <w:rPr>
                <w:rFonts w:ascii="Arial" w:hAnsi="Arial" w:cs="Arial"/>
                <w:b/>
                <w:bCs/>
                <w:color w:val="FF0000"/>
                <w:sz w:val="18"/>
                <w:szCs w:val="18"/>
              </w:rPr>
            </w:pPr>
            <w:r w:rsidRPr="00D42E41">
              <w:rPr>
                <w:rFonts w:ascii="Arial" w:hAnsi="Arial" w:cs="Arial"/>
                <w:b/>
                <w:bCs/>
                <w:color w:val="FF0000"/>
                <w:sz w:val="18"/>
                <w:szCs w:val="18"/>
              </w:rPr>
              <w:t>1</w:t>
            </w:r>
          </w:p>
        </w:tc>
        <w:tc>
          <w:tcPr>
            <w:tcW w:w="450" w:type="dxa"/>
            <w:tcBorders>
              <w:top w:val="nil"/>
              <w:left w:val="nil"/>
              <w:bottom w:val="single" w:sz="4" w:space="0" w:color="auto"/>
              <w:right w:val="single" w:sz="4" w:space="0" w:color="auto"/>
            </w:tcBorders>
            <w:shd w:val="clear" w:color="auto" w:fill="auto"/>
            <w:noWrap/>
            <w:tcMar>
              <w:left w:w="0" w:type="dxa"/>
              <w:right w:w="0" w:type="dxa"/>
            </w:tcMar>
            <w:hideMark/>
          </w:tcPr>
          <w:p w14:paraId="2E9D5BDA" w14:textId="77777777" w:rsidR="00B00C0F" w:rsidRPr="00B00C0F" w:rsidRDefault="00B00C0F">
            <w:pPr>
              <w:rPr>
                <w:rFonts w:ascii="Arial" w:hAnsi="Arial" w:cs="Arial"/>
                <w:color w:val="000000"/>
                <w:sz w:val="12"/>
                <w:szCs w:val="12"/>
              </w:rPr>
            </w:pPr>
            <w:r w:rsidRPr="00B00C0F">
              <w:rPr>
                <w:rFonts w:ascii="Arial" w:hAnsi="Arial" w:cs="Arial"/>
                <w:color w:val="000000"/>
                <w:sz w:val="12"/>
                <w:szCs w:val="12"/>
              </w:rPr>
              <w:t>U</w:t>
            </w:r>
          </w:p>
        </w:tc>
        <w:tc>
          <w:tcPr>
            <w:tcW w:w="1980" w:type="dxa"/>
            <w:tcBorders>
              <w:top w:val="nil"/>
              <w:left w:val="nil"/>
              <w:bottom w:val="single" w:sz="4" w:space="0" w:color="auto"/>
              <w:right w:val="single" w:sz="4" w:space="0" w:color="auto"/>
            </w:tcBorders>
            <w:shd w:val="clear" w:color="auto" w:fill="auto"/>
            <w:hideMark/>
          </w:tcPr>
          <w:p w14:paraId="65D97BFB" w14:textId="76C6C756" w:rsidR="00B00C0F" w:rsidRPr="00B00C0F" w:rsidRDefault="00B00C0F" w:rsidP="00B00C0F">
            <w:pPr>
              <w:rPr>
                <w:rFonts w:ascii="Arial" w:hAnsi="Arial" w:cs="Arial"/>
                <w:color w:val="000000"/>
                <w:sz w:val="12"/>
                <w:szCs w:val="12"/>
              </w:rPr>
            </w:pPr>
            <w:r w:rsidRPr="00B00C0F">
              <w:rPr>
                <w:rFonts w:ascii="Arial" w:hAnsi="Arial" w:cs="Arial"/>
                <w:color w:val="000000"/>
                <w:sz w:val="12"/>
                <w:szCs w:val="12"/>
              </w:rPr>
              <w:t xml:space="preserve">There are a number of unquantified or under-quantified uncertainties, such as the composition and thickness of contamination control material (tape and plastic wrap) that covered each plutonium oxide-containing polyethylene box in </w:t>
            </w:r>
            <w:r w:rsidRPr="00B00C0F">
              <w:rPr>
                <w:rFonts w:ascii="Arial" w:hAnsi="Arial" w:cs="Arial"/>
                <w:color w:val="000000"/>
                <w:sz w:val="12"/>
                <w:szCs w:val="12"/>
              </w:rPr>
              <w:lastRenderedPageBreak/>
              <w:t xml:space="preserve">the array.  Other uncertainties could arise from the plutonium oxide density, heterogeneity of the oxide and polystyrene moderator, thermal expansion of the boxes, and loss of hydrogen due to radiolysis in the moderator.  No temperature data reported, but the reason for the </w:t>
            </w:r>
            <w:r w:rsidRPr="00B00C0F">
              <w:rPr>
                <w:rFonts w:ascii="Arial" w:hAnsi="Arial" w:cs="Arial"/>
                <w:color w:val="000000"/>
                <w:sz w:val="12"/>
                <w:szCs w:val="12"/>
              </w:rPr>
              <w:t>contamination</w:t>
            </w:r>
            <w:r w:rsidRPr="00B00C0F">
              <w:rPr>
                <w:rFonts w:ascii="Arial" w:hAnsi="Arial" w:cs="Arial"/>
                <w:color w:val="000000"/>
                <w:sz w:val="12"/>
                <w:szCs w:val="12"/>
              </w:rPr>
              <w:t xml:space="preserve"> control material was because the boxes got so hot that they melted the glue holding the PE boxes together.</w:t>
            </w:r>
          </w:p>
        </w:tc>
        <w:tc>
          <w:tcPr>
            <w:tcW w:w="2520" w:type="dxa"/>
            <w:tcBorders>
              <w:top w:val="nil"/>
              <w:left w:val="nil"/>
              <w:bottom w:val="single" w:sz="4" w:space="0" w:color="auto"/>
              <w:right w:val="single" w:sz="4" w:space="0" w:color="auto"/>
            </w:tcBorders>
            <w:shd w:val="clear" w:color="auto" w:fill="auto"/>
            <w:hideMark/>
          </w:tcPr>
          <w:p w14:paraId="63763874" w14:textId="35C165B4" w:rsidR="00B00C0F" w:rsidRPr="00B00C0F" w:rsidRDefault="00B00C0F" w:rsidP="00B00C0F">
            <w:pPr>
              <w:rPr>
                <w:rFonts w:ascii="Arial" w:hAnsi="Arial" w:cs="Arial"/>
                <w:color w:val="000000"/>
                <w:sz w:val="12"/>
                <w:szCs w:val="12"/>
              </w:rPr>
            </w:pPr>
            <w:r w:rsidRPr="00B00C0F">
              <w:rPr>
                <w:rFonts w:ascii="Arial" w:hAnsi="Arial" w:cs="Arial"/>
                <w:color w:val="000000"/>
                <w:sz w:val="12"/>
                <w:szCs w:val="12"/>
              </w:rPr>
              <w:lastRenderedPageBreak/>
              <w:t xml:space="preserve">These benchmarks represent the only loose plutonium oxide benchmarks in the </w:t>
            </w:r>
            <w:r w:rsidR="00D42E41" w:rsidRPr="00B00C0F">
              <w:rPr>
                <w:rFonts w:ascii="Arial" w:hAnsi="Arial" w:cs="Arial"/>
                <w:color w:val="000000"/>
                <w:sz w:val="12"/>
                <w:szCs w:val="12"/>
              </w:rPr>
              <w:t>handbook and</w:t>
            </w:r>
            <w:r w:rsidRPr="00B00C0F">
              <w:rPr>
                <w:rFonts w:ascii="Arial" w:hAnsi="Arial" w:cs="Arial"/>
                <w:color w:val="000000"/>
                <w:sz w:val="12"/>
                <w:szCs w:val="12"/>
              </w:rPr>
              <w:t xml:space="preserve"> have historically been considered important for criticality safety validation. </w:t>
            </w:r>
          </w:p>
        </w:tc>
      </w:tr>
      <w:tr w:rsidR="00D42E41" w:rsidRPr="00B00C0F" w14:paraId="57181CCF" w14:textId="77777777" w:rsidTr="00D75826">
        <w:trPr>
          <w:trHeight w:val="422"/>
        </w:trPr>
        <w:tc>
          <w:tcPr>
            <w:tcW w:w="1350" w:type="dxa"/>
            <w:tcBorders>
              <w:top w:val="nil"/>
              <w:left w:val="single" w:sz="4" w:space="0" w:color="000000"/>
              <w:bottom w:val="single" w:sz="4" w:space="0" w:color="000000"/>
              <w:right w:val="single" w:sz="4" w:space="0" w:color="000000"/>
            </w:tcBorders>
            <w:shd w:val="clear" w:color="auto" w:fill="auto"/>
            <w:noWrap/>
            <w:tcMar>
              <w:left w:w="0" w:type="dxa"/>
              <w:right w:w="0" w:type="dxa"/>
            </w:tcMar>
            <w:hideMark/>
          </w:tcPr>
          <w:p w14:paraId="1BCE96B1" w14:textId="77777777" w:rsidR="00B00C0F" w:rsidRPr="00B00C0F" w:rsidRDefault="00B00C0F">
            <w:pPr>
              <w:rPr>
                <w:rFonts w:ascii="Arial" w:hAnsi="Arial" w:cs="Arial"/>
                <w:color w:val="000000"/>
                <w:sz w:val="12"/>
                <w:szCs w:val="12"/>
              </w:rPr>
            </w:pPr>
            <w:r w:rsidRPr="00B00C0F">
              <w:rPr>
                <w:rFonts w:ascii="Arial" w:hAnsi="Arial" w:cs="Arial"/>
                <w:color w:val="000000"/>
                <w:sz w:val="12"/>
                <w:szCs w:val="12"/>
              </w:rPr>
              <w:t>MIX-COMP-THERM-012</w:t>
            </w:r>
          </w:p>
        </w:tc>
        <w:tc>
          <w:tcPr>
            <w:tcW w:w="1620" w:type="dxa"/>
            <w:tcBorders>
              <w:top w:val="nil"/>
              <w:left w:val="nil"/>
              <w:bottom w:val="single" w:sz="4" w:space="0" w:color="000000"/>
              <w:right w:val="single" w:sz="4" w:space="0" w:color="000000"/>
            </w:tcBorders>
            <w:shd w:val="clear" w:color="auto" w:fill="auto"/>
            <w:noWrap/>
            <w:tcMar>
              <w:left w:w="0" w:type="dxa"/>
              <w:right w:w="0" w:type="dxa"/>
            </w:tcMar>
            <w:hideMark/>
          </w:tcPr>
          <w:p w14:paraId="5F77BB99" w14:textId="77777777" w:rsidR="00B00C0F" w:rsidRPr="00B00C0F" w:rsidRDefault="00B00C0F">
            <w:pPr>
              <w:rPr>
                <w:rFonts w:ascii="Arial" w:hAnsi="Arial" w:cs="Arial"/>
                <w:color w:val="000000"/>
                <w:sz w:val="12"/>
                <w:szCs w:val="12"/>
              </w:rPr>
            </w:pPr>
            <w:r w:rsidRPr="00B00C0F">
              <w:rPr>
                <w:rFonts w:ascii="Arial" w:hAnsi="Arial" w:cs="Arial"/>
                <w:color w:val="000000"/>
                <w:sz w:val="12"/>
                <w:szCs w:val="12"/>
              </w:rPr>
              <w:t>MIX-COMP-THERM-012-001</w:t>
            </w:r>
          </w:p>
        </w:tc>
        <w:tc>
          <w:tcPr>
            <w:tcW w:w="450" w:type="dxa"/>
            <w:tcBorders>
              <w:top w:val="nil"/>
              <w:left w:val="nil"/>
              <w:bottom w:val="single" w:sz="4" w:space="0" w:color="000000"/>
              <w:right w:val="single" w:sz="4" w:space="0" w:color="000000"/>
            </w:tcBorders>
            <w:shd w:val="clear" w:color="auto" w:fill="auto"/>
            <w:noWrap/>
            <w:tcMar>
              <w:left w:w="0" w:type="dxa"/>
              <w:right w:w="0" w:type="dxa"/>
            </w:tcMar>
            <w:hideMark/>
          </w:tcPr>
          <w:p w14:paraId="0F64B85F" w14:textId="77777777" w:rsidR="00B00C0F" w:rsidRPr="00B00C0F" w:rsidRDefault="00B00C0F">
            <w:pPr>
              <w:rPr>
                <w:rFonts w:ascii="Arial" w:hAnsi="Arial" w:cs="Arial"/>
                <w:color w:val="000000"/>
                <w:sz w:val="12"/>
                <w:szCs w:val="12"/>
              </w:rPr>
            </w:pPr>
            <w:r w:rsidRPr="00B00C0F">
              <w:rPr>
                <w:rFonts w:ascii="Arial" w:hAnsi="Arial" w:cs="Arial"/>
                <w:color w:val="000000"/>
                <w:sz w:val="12"/>
                <w:szCs w:val="12"/>
              </w:rPr>
              <w:t>1</w:t>
            </w:r>
          </w:p>
        </w:tc>
        <w:tc>
          <w:tcPr>
            <w:tcW w:w="540" w:type="dxa"/>
            <w:tcBorders>
              <w:top w:val="nil"/>
              <w:left w:val="nil"/>
              <w:bottom w:val="single" w:sz="4" w:space="0" w:color="000000"/>
              <w:right w:val="nil"/>
            </w:tcBorders>
            <w:shd w:val="clear" w:color="auto" w:fill="auto"/>
            <w:noWrap/>
            <w:tcMar>
              <w:left w:w="0" w:type="dxa"/>
              <w:right w:w="0" w:type="dxa"/>
            </w:tcMar>
            <w:hideMark/>
          </w:tcPr>
          <w:p w14:paraId="2601DB8C" w14:textId="77777777" w:rsidR="00B00C0F" w:rsidRPr="00B00C0F" w:rsidRDefault="00B00C0F">
            <w:pPr>
              <w:rPr>
                <w:rFonts w:ascii="Arial" w:hAnsi="Arial" w:cs="Arial"/>
                <w:color w:val="434343"/>
                <w:sz w:val="12"/>
                <w:szCs w:val="12"/>
              </w:rPr>
            </w:pPr>
            <w:r w:rsidRPr="00B00C0F">
              <w:rPr>
                <w:rFonts w:ascii="Arial" w:hAnsi="Arial" w:cs="Arial"/>
                <w:color w:val="434343"/>
                <w:sz w:val="12"/>
                <w:szCs w:val="12"/>
              </w:rPr>
              <w:t>ALL</w:t>
            </w:r>
          </w:p>
        </w:tc>
        <w:tc>
          <w:tcPr>
            <w:tcW w:w="450" w:type="dxa"/>
            <w:tcBorders>
              <w:top w:val="nil"/>
              <w:left w:val="single" w:sz="4" w:space="0" w:color="auto"/>
              <w:bottom w:val="single" w:sz="4" w:space="0" w:color="auto"/>
              <w:right w:val="single" w:sz="4" w:space="0" w:color="auto"/>
            </w:tcBorders>
            <w:shd w:val="clear" w:color="auto" w:fill="auto"/>
            <w:noWrap/>
            <w:tcMar>
              <w:left w:w="0" w:type="dxa"/>
              <w:right w:w="0" w:type="dxa"/>
            </w:tcMar>
            <w:hideMark/>
          </w:tcPr>
          <w:p w14:paraId="305044D4" w14:textId="77777777" w:rsidR="00B00C0F" w:rsidRPr="00D42E41" w:rsidRDefault="00B00C0F" w:rsidP="00D42E41">
            <w:pPr>
              <w:jc w:val="center"/>
              <w:rPr>
                <w:rFonts w:ascii="Arial" w:hAnsi="Arial" w:cs="Arial"/>
                <w:b/>
                <w:bCs/>
                <w:color w:val="FF0000"/>
                <w:sz w:val="18"/>
                <w:szCs w:val="18"/>
              </w:rPr>
            </w:pPr>
            <w:r w:rsidRPr="00D42E41">
              <w:rPr>
                <w:rFonts w:ascii="Arial" w:hAnsi="Arial" w:cs="Arial"/>
                <w:b/>
                <w:bCs/>
                <w:color w:val="FF0000"/>
                <w:sz w:val="18"/>
                <w:szCs w:val="18"/>
              </w:rPr>
              <w:t>1</w:t>
            </w:r>
          </w:p>
        </w:tc>
        <w:tc>
          <w:tcPr>
            <w:tcW w:w="450" w:type="dxa"/>
            <w:tcBorders>
              <w:top w:val="nil"/>
              <w:left w:val="nil"/>
              <w:bottom w:val="single" w:sz="4" w:space="0" w:color="auto"/>
              <w:right w:val="single" w:sz="4" w:space="0" w:color="auto"/>
            </w:tcBorders>
            <w:shd w:val="clear" w:color="auto" w:fill="auto"/>
            <w:noWrap/>
            <w:tcMar>
              <w:left w:w="0" w:type="dxa"/>
              <w:right w:w="0" w:type="dxa"/>
            </w:tcMar>
            <w:hideMark/>
          </w:tcPr>
          <w:p w14:paraId="126D50FC" w14:textId="77777777" w:rsidR="00B00C0F" w:rsidRPr="00B00C0F" w:rsidRDefault="00B00C0F">
            <w:pPr>
              <w:rPr>
                <w:rFonts w:ascii="Arial" w:hAnsi="Arial" w:cs="Arial"/>
                <w:color w:val="000000"/>
                <w:sz w:val="12"/>
                <w:szCs w:val="12"/>
              </w:rPr>
            </w:pPr>
            <w:r w:rsidRPr="00B00C0F">
              <w:rPr>
                <w:rFonts w:ascii="Arial" w:hAnsi="Arial" w:cs="Arial"/>
                <w:color w:val="000000"/>
                <w:sz w:val="12"/>
                <w:szCs w:val="12"/>
              </w:rPr>
              <w:t>B</w:t>
            </w:r>
          </w:p>
        </w:tc>
        <w:tc>
          <w:tcPr>
            <w:tcW w:w="1980" w:type="dxa"/>
            <w:tcBorders>
              <w:top w:val="nil"/>
              <w:left w:val="nil"/>
              <w:bottom w:val="single" w:sz="4" w:space="0" w:color="auto"/>
              <w:right w:val="single" w:sz="4" w:space="0" w:color="auto"/>
            </w:tcBorders>
            <w:shd w:val="clear" w:color="auto" w:fill="auto"/>
            <w:hideMark/>
          </w:tcPr>
          <w:p w14:paraId="06C89078" w14:textId="77777777" w:rsidR="00B00C0F" w:rsidRPr="00B00C0F" w:rsidRDefault="00B00C0F" w:rsidP="00B00C0F">
            <w:pPr>
              <w:rPr>
                <w:rFonts w:ascii="Arial" w:hAnsi="Arial" w:cs="Arial"/>
                <w:color w:val="000000"/>
                <w:sz w:val="12"/>
                <w:szCs w:val="12"/>
              </w:rPr>
            </w:pPr>
            <w:r w:rsidRPr="00B00C0F">
              <w:rPr>
                <w:rFonts w:ascii="Arial" w:hAnsi="Arial" w:cs="Arial"/>
                <w:color w:val="000000"/>
                <w:sz w:val="12"/>
                <w:szCs w:val="12"/>
              </w:rPr>
              <w:t xml:space="preserve">There is an inconsistency between cases results. A strong overestimation by more than 3% is observed for some cases whereas a strong underestimation by 3% is observed for others whatever the library. </w:t>
            </w:r>
          </w:p>
        </w:tc>
        <w:tc>
          <w:tcPr>
            <w:tcW w:w="2520" w:type="dxa"/>
            <w:tcBorders>
              <w:top w:val="nil"/>
              <w:left w:val="nil"/>
              <w:bottom w:val="single" w:sz="4" w:space="0" w:color="auto"/>
              <w:right w:val="single" w:sz="4" w:space="0" w:color="auto"/>
            </w:tcBorders>
            <w:shd w:val="clear" w:color="auto" w:fill="auto"/>
            <w:hideMark/>
          </w:tcPr>
          <w:p w14:paraId="575AF28E" w14:textId="77777777" w:rsidR="00B00C0F" w:rsidRPr="00B00C0F" w:rsidRDefault="00B00C0F" w:rsidP="00B00C0F">
            <w:pPr>
              <w:rPr>
                <w:rFonts w:ascii="Arial" w:hAnsi="Arial" w:cs="Arial"/>
                <w:color w:val="000000"/>
                <w:sz w:val="12"/>
                <w:szCs w:val="12"/>
              </w:rPr>
            </w:pPr>
            <w:r w:rsidRPr="00B00C0F">
              <w:rPr>
                <w:rFonts w:ascii="Arial" w:hAnsi="Arial" w:cs="Arial"/>
                <w:color w:val="000000"/>
                <w:sz w:val="12"/>
                <w:szCs w:val="12"/>
              </w:rPr>
              <w:t>This discrepancy is not common to other MCT series. The composition of the polystyrene boxes could be at stake. Indeed some parameters were derived from calculations.</w:t>
            </w:r>
          </w:p>
        </w:tc>
      </w:tr>
    </w:tbl>
    <w:p w14:paraId="289CB657" w14:textId="77777777" w:rsidR="00B00C0F" w:rsidRPr="00B00C0F" w:rsidRDefault="00B00C0F" w:rsidP="00B00C0F"/>
    <w:p w14:paraId="1737F2C6" w14:textId="77777777" w:rsidR="00A40BC6" w:rsidRPr="009E7CDF" w:rsidRDefault="00A40BC6" w:rsidP="009E7CDF"/>
    <w:p w14:paraId="4DE804FB" w14:textId="77777777" w:rsidR="0054472B" w:rsidRPr="00C2411C" w:rsidRDefault="0054472B" w:rsidP="0054472B">
      <w:pPr>
        <w:pStyle w:val="Heading2"/>
        <w:numPr>
          <w:ilvl w:val="1"/>
          <w:numId w:val="13"/>
        </w:numPr>
      </w:pPr>
      <w:bookmarkStart w:id="5" w:name="_Toc405445536"/>
      <w:bookmarkStart w:id="6" w:name="_Toc202146550"/>
      <w:r>
        <w:rPr>
          <w:caps w:val="0"/>
        </w:rPr>
        <w:t xml:space="preserve">SECOND-ORDER </w:t>
      </w:r>
      <w:r w:rsidRPr="00692056">
        <w:rPr>
          <w:caps w:val="0"/>
        </w:rPr>
        <w:t>HEADING</w:t>
      </w:r>
      <w:bookmarkEnd w:id="5"/>
      <w:r w:rsidRPr="00C2411C">
        <w:rPr>
          <w:caps w:val="0"/>
        </w:rPr>
        <w:t xml:space="preserve"> </w:t>
      </w:r>
      <w:bookmarkEnd w:id="6"/>
    </w:p>
    <w:p w14:paraId="5913DEBC" w14:textId="77777777" w:rsidR="009B3063" w:rsidRPr="00EF01B9" w:rsidRDefault="009B3063" w:rsidP="009B3063">
      <w:pPr>
        <w:pStyle w:val="BlockText"/>
      </w:pPr>
      <w:r>
        <w:t>Begin text here.</w:t>
      </w:r>
    </w:p>
    <w:p w14:paraId="6A54AC0F" w14:textId="77777777" w:rsidR="006F1AA4" w:rsidRDefault="009B3063" w:rsidP="009B3063">
      <w:pPr>
        <w:pStyle w:val="LISTBullet"/>
      </w:pPr>
      <w:r>
        <w:t>Text</w:t>
      </w:r>
    </w:p>
    <w:p w14:paraId="4D59AC84" w14:textId="77777777" w:rsidR="009B3063" w:rsidRDefault="009B3063" w:rsidP="009B3063">
      <w:pPr>
        <w:pStyle w:val="LISTBulleto"/>
      </w:pPr>
      <w:r>
        <w:t>Text</w:t>
      </w:r>
    </w:p>
    <w:p w14:paraId="043C2178" w14:textId="77777777" w:rsidR="009B3063" w:rsidRDefault="009B3063" w:rsidP="009B3063">
      <w:pPr>
        <w:pStyle w:val="LISTDashed"/>
      </w:pPr>
      <w:r>
        <w:t>Text</w:t>
      </w:r>
    </w:p>
    <w:p w14:paraId="11DCA016" w14:textId="77777777" w:rsidR="009B3063" w:rsidRDefault="009B3063" w:rsidP="009B3063">
      <w:pPr>
        <w:pStyle w:val="LISTBulletlastitem"/>
      </w:pPr>
      <w:r>
        <w:t>Text</w:t>
      </w:r>
    </w:p>
    <w:p w14:paraId="57F614E7" w14:textId="77777777" w:rsidR="009B3063" w:rsidRDefault="009B3063" w:rsidP="006F1AA4">
      <w:pPr>
        <w:pStyle w:val="BlockText"/>
      </w:pPr>
    </w:p>
    <w:p w14:paraId="168CC281" w14:textId="77777777" w:rsidR="0054472B" w:rsidRPr="00692056" w:rsidRDefault="0054472B" w:rsidP="0054472B">
      <w:pPr>
        <w:pStyle w:val="Heading3"/>
        <w:numPr>
          <w:ilvl w:val="2"/>
          <w:numId w:val="1"/>
        </w:numPr>
      </w:pPr>
      <w:bookmarkStart w:id="7" w:name="_Toc405445537"/>
      <w:bookmarkStart w:id="8" w:name="_Toc202146551"/>
      <w:r>
        <w:t xml:space="preserve">Third-Order </w:t>
      </w:r>
      <w:r w:rsidRPr="00692056">
        <w:t>Heading</w:t>
      </w:r>
      <w:bookmarkEnd w:id="7"/>
      <w:r w:rsidRPr="00692056">
        <w:t xml:space="preserve"> </w:t>
      </w:r>
      <w:bookmarkEnd w:id="8"/>
    </w:p>
    <w:p w14:paraId="310E8783" w14:textId="77777777" w:rsidR="00F35757" w:rsidRDefault="00F35757" w:rsidP="00F35757">
      <w:pPr>
        <w:pStyle w:val="BlockText"/>
      </w:pPr>
    </w:p>
    <w:p w14:paraId="15716C5B" w14:textId="77777777" w:rsidR="0054472B" w:rsidRPr="00692056" w:rsidRDefault="0054472B" w:rsidP="0054472B">
      <w:pPr>
        <w:pStyle w:val="Heading4"/>
        <w:numPr>
          <w:ilvl w:val="3"/>
          <w:numId w:val="1"/>
        </w:numPr>
      </w:pPr>
      <w:r>
        <w:t xml:space="preserve">Fourth-order </w:t>
      </w:r>
      <w:r w:rsidRPr="00692056">
        <w:t xml:space="preserve">heading </w:t>
      </w:r>
    </w:p>
    <w:p w14:paraId="3B56A8A4" w14:textId="77777777" w:rsidR="00F35757" w:rsidRDefault="00F35757" w:rsidP="00F35757">
      <w:pPr>
        <w:pStyle w:val="BlockText"/>
      </w:pPr>
    </w:p>
    <w:p w14:paraId="06905D4B" w14:textId="77777777" w:rsidR="0054472B" w:rsidRDefault="0054472B" w:rsidP="0054472B">
      <w:pPr>
        <w:pStyle w:val="Heading5"/>
      </w:pPr>
      <w:r w:rsidRPr="004F668B">
        <w:t>Unnumbered fifth-order heading</w:t>
      </w:r>
    </w:p>
    <w:p w14:paraId="6B57C52F" w14:textId="77777777" w:rsidR="00F35757" w:rsidRDefault="00F35757" w:rsidP="00F35757">
      <w:pPr>
        <w:pStyle w:val="BlockText"/>
      </w:pPr>
    </w:p>
    <w:p w14:paraId="21348C18" w14:textId="77777777" w:rsidR="0054472B" w:rsidRDefault="0054472B" w:rsidP="0054472B">
      <w:pPr>
        <w:pStyle w:val="Heading6"/>
      </w:pPr>
      <w:r w:rsidRPr="004F668B">
        <w:t>Unnumbered sixth-order heading</w:t>
      </w:r>
    </w:p>
    <w:p w14:paraId="77EF3D79" w14:textId="77777777" w:rsidR="00F35757" w:rsidRDefault="00F35757" w:rsidP="00F35757">
      <w:pPr>
        <w:pStyle w:val="BlockText"/>
      </w:pPr>
    </w:p>
    <w:p w14:paraId="3016331C" w14:textId="77777777" w:rsidR="0054472B" w:rsidRDefault="0054472B" w:rsidP="0054472B">
      <w:pPr>
        <w:pStyle w:val="Heading7"/>
      </w:pPr>
      <w:r w:rsidRPr="004F668B">
        <w:t xml:space="preserve">Unnumbered </w:t>
      </w:r>
      <w:r>
        <w:t>seventh</w:t>
      </w:r>
      <w:r w:rsidRPr="004F668B">
        <w:t>-order heading</w:t>
      </w:r>
    </w:p>
    <w:p w14:paraId="5EB37F3A" w14:textId="77777777" w:rsidR="00F35757" w:rsidRDefault="00F35757" w:rsidP="00F35757">
      <w:pPr>
        <w:pStyle w:val="BlockText"/>
      </w:pPr>
    </w:p>
    <w:p w14:paraId="2724CDE8" w14:textId="77777777" w:rsidR="0054472B" w:rsidRDefault="0054472B" w:rsidP="0054472B">
      <w:pPr>
        <w:pStyle w:val="Heading8"/>
      </w:pPr>
      <w:r w:rsidRPr="004F668B">
        <w:t xml:space="preserve">Unnumbered </w:t>
      </w:r>
      <w:r>
        <w:t>eighth</w:t>
      </w:r>
      <w:r w:rsidRPr="004F668B">
        <w:t>-order heading</w:t>
      </w:r>
    </w:p>
    <w:p w14:paraId="49FBFE18" w14:textId="77777777" w:rsidR="00F35757" w:rsidRDefault="00F35757" w:rsidP="00F35757">
      <w:pPr>
        <w:pStyle w:val="BlockText"/>
      </w:pPr>
    </w:p>
    <w:p w14:paraId="634FBD20" w14:textId="77777777" w:rsidR="00D71D6D" w:rsidRDefault="00D71D6D">
      <w:pPr>
        <w:spacing w:after="200" w:line="276" w:lineRule="auto"/>
        <w:rPr>
          <w:szCs w:val="22"/>
        </w:rPr>
      </w:pPr>
    </w:p>
    <w:p w14:paraId="05176FBC" w14:textId="77777777" w:rsidR="0054472B" w:rsidRPr="004F668B" w:rsidRDefault="0054472B" w:rsidP="0054472B">
      <w:pPr>
        <w:pStyle w:val="BlockText"/>
      </w:pPr>
    </w:p>
    <w:p w14:paraId="6F26437B" w14:textId="77777777" w:rsidR="0054472B" w:rsidRDefault="0054472B" w:rsidP="0054472B">
      <w:pPr>
        <w:pStyle w:val="BlockText"/>
        <w:sectPr w:rsidR="0054472B" w:rsidSect="00D71D6D">
          <w:footerReference w:type="default" r:id="rId22"/>
          <w:headerReference w:type="first" r:id="rId23"/>
          <w:footerReference w:type="first" r:id="rId24"/>
          <w:pgSz w:w="12240" w:h="15840" w:code="1"/>
          <w:pgMar w:top="1440" w:right="1440" w:bottom="1440" w:left="1440" w:header="720" w:footer="720" w:gutter="0"/>
          <w:pgNumType w:start="1"/>
          <w:cols w:space="720"/>
          <w:docGrid w:linePitch="360"/>
        </w:sectPr>
      </w:pPr>
    </w:p>
    <w:p w14:paraId="29F7AAC3" w14:textId="77777777" w:rsidR="0054472B" w:rsidRDefault="0054472B" w:rsidP="0054472B">
      <w:pPr>
        <w:pStyle w:val="BlockText"/>
      </w:pPr>
    </w:p>
    <w:p w14:paraId="1D5ED608" w14:textId="77777777" w:rsidR="00997BD8" w:rsidRDefault="00997BD8" w:rsidP="0054472B">
      <w:pPr>
        <w:pStyle w:val="BlockText"/>
        <w:sectPr w:rsidR="00997BD8" w:rsidSect="006E2803">
          <w:headerReference w:type="default" r:id="rId25"/>
          <w:footerReference w:type="default" r:id="rId26"/>
          <w:pgSz w:w="12240" w:h="15840" w:code="1"/>
          <w:pgMar w:top="1440" w:right="1440" w:bottom="1440" w:left="1440" w:header="720" w:footer="720" w:gutter="0"/>
          <w:pgNumType w:chapStyle="9"/>
          <w:cols w:space="720"/>
          <w:docGrid w:linePitch="360"/>
        </w:sectPr>
      </w:pPr>
    </w:p>
    <w:p w14:paraId="5A45A68E" w14:textId="77777777" w:rsidR="00997BD8" w:rsidRPr="002C238D" w:rsidRDefault="00997BD8" w:rsidP="0054472B">
      <w:pPr>
        <w:pStyle w:val="BlockText"/>
      </w:pPr>
    </w:p>
    <w:p w14:paraId="3D137186" w14:textId="77777777" w:rsidR="00542862" w:rsidRDefault="00542862" w:rsidP="00997BD8">
      <w:pPr>
        <w:pStyle w:val="BlockText"/>
      </w:pPr>
    </w:p>
    <w:p w14:paraId="2DF6F6A6" w14:textId="77777777" w:rsidR="00997BD8" w:rsidRDefault="00997BD8" w:rsidP="00997BD8">
      <w:pPr>
        <w:pStyle w:val="BlockText"/>
        <w:sectPr w:rsidR="00997BD8" w:rsidSect="006E2803">
          <w:footerReference w:type="default" r:id="rId27"/>
          <w:pgSz w:w="12240" w:h="15840" w:code="1"/>
          <w:pgMar w:top="1440" w:right="1440" w:bottom="1440" w:left="1440" w:header="720" w:footer="720" w:gutter="0"/>
          <w:pgNumType w:chapStyle="9"/>
          <w:cols w:space="720"/>
          <w:docGrid w:linePitch="360"/>
        </w:sectPr>
      </w:pPr>
    </w:p>
    <w:p w14:paraId="76611764" w14:textId="77777777" w:rsidR="00997BD8" w:rsidRDefault="00997BD8" w:rsidP="00997BD8">
      <w:pPr>
        <w:pStyle w:val="BlockText"/>
      </w:pPr>
    </w:p>
    <w:sectPr w:rsidR="00997BD8" w:rsidSect="006E2803">
      <w:footerReference w:type="default" r:id="rId28"/>
      <w:pgSz w:w="12240" w:h="15840" w:code="1"/>
      <w:pgMar w:top="1440" w:right="1440" w:bottom="1440" w:left="1440" w:header="720" w:footer="720" w:gutter="0"/>
      <w:pgNumType w:chapStyle="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2C91A" w14:textId="77777777" w:rsidR="00B107EF" w:rsidRDefault="00B107EF">
      <w:r>
        <w:separator/>
      </w:r>
    </w:p>
  </w:endnote>
  <w:endnote w:type="continuationSeparator" w:id="0">
    <w:p w14:paraId="7600450B" w14:textId="77777777" w:rsidR="00B107EF" w:rsidRDefault="00B10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20B0604020202020204"/>
    <w:charset w:val="00"/>
    <w:family w:val="auto"/>
    <w:pitch w:val="variable"/>
    <w:sig w:usb0="00000000"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01634" w14:textId="77777777" w:rsidR="00CE3588" w:rsidRPr="00066F5E" w:rsidRDefault="00CE3588" w:rsidP="00CE3588">
    <w:pPr>
      <w:pStyle w:val="Footer"/>
      <w:ind w:left="180"/>
      <w:jc w:val="left"/>
      <w:rPr>
        <w:rFonts w:ascii="Arial" w:hAnsi="Arial" w:cs="Arial"/>
        <w:color w:val="FFFFFF" w:themeColor="background1"/>
        <w:sz w:val="20"/>
      </w:rPr>
    </w:pPr>
    <w:r w:rsidRPr="00066F5E">
      <w:rPr>
        <w:rFonts w:ascii="Arial" w:hAnsi="Arial" w:cs="Arial"/>
        <w:color w:val="FFFFFF" w:themeColor="background1"/>
        <w:sz w:val="20"/>
      </w:rPr>
      <w:t>ORNL IS MANAGED BY UT-BATTELLE</w:t>
    </w:r>
    <w:r w:rsidR="00DE5544">
      <w:rPr>
        <w:rFonts w:ascii="Arial" w:hAnsi="Arial" w:cs="Arial"/>
        <w:color w:val="FFFFFF" w:themeColor="background1"/>
        <w:sz w:val="20"/>
      </w:rPr>
      <w:t xml:space="preserve"> LLC</w:t>
    </w:r>
    <w:r w:rsidRPr="00066F5E">
      <w:rPr>
        <w:rFonts w:ascii="Arial" w:hAnsi="Arial" w:cs="Arial"/>
        <w:color w:val="FFFFFF" w:themeColor="background1"/>
        <w:sz w:val="20"/>
      </w:rPr>
      <w:t xml:space="preserve"> FOR THE US DEPARTMENT OF ENERGY</w:t>
    </w:r>
  </w:p>
  <w:p w14:paraId="4F30AA72" w14:textId="77777777" w:rsidR="00AE295A" w:rsidRPr="00675BF7" w:rsidRDefault="00AE295A" w:rsidP="00CE3588">
    <w:pPr>
      <w:pStyle w:val="Footer"/>
      <w:ind w:left="180"/>
      <w:jc w:val="left"/>
      <w:rPr>
        <w:rFonts w:ascii="Arial" w:hAnsi="Arial" w:cs="Arial"/>
        <w:color w:val="FFFFFF" w:themeColor="background1"/>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1FB6F" w14:textId="77777777" w:rsidR="00902D0E" w:rsidRPr="00A5181F" w:rsidRDefault="00902D0E" w:rsidP="00A518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B2C6C" w14:textId="77777777" w:rsidR="00902D0E" w:rsidRPr="00A5181F" w:rsidRDefault="00902D0E" w:rsidP="00A518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25935" w14:textId="77777777" w:rsidR="00902D0E" w:rsidRPr="00902D0E" w:rsidRDefault="00902D0E" w:rsidP="00902D0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64157" w14:textId="77777777" w:rsidR="00D71D6D" w:rsidRPr="000C6B91" w:rsidRDefault="00D71D6D" w:rsidP="000C6B91">
    <w:pPr>
      <w:pStyle w:val="Footer"/>
    </w:pPr>
    <w:r>
      <w:fldChar w:fldCharType="begin"/>
    </w:r>
    <w:r>
      <w:instrText xml:space="preserve"> PAGE   \* MERGEFORMAT </w:instrText>
    </w:r>
    <w:r>
      <w:fldChar w:fldCharType="separate"/>
    </w:r>
    <w:r>
      <w:rPr>
        <w:noProof/>
      </w:rPr>
      <w:t>1</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296C1" w14:textId="77777777" w:rsidR="00D64DD4" w:rsidRDefault="00000000" w:rsidP="006E280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181E" w14:textId="77777777" w:rsidR="00AF0417" w:rsidRPr="00F35757" w:rsidRDefault="00000000" w:rsidP="00F3575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D8174" w14:textId="77777777" w:rsidR="00997BD8" w:rsidRPr="00997BD8" w:rsidRDefault="00997BD8" w:rsidP="00997BD8">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41113" w14:textId="77777777" w:rsidR="00EB2FFB" w:rsidRPr="00F516EB" w:rsidRDefault="00EB2FFB" w:rsidP="002D1460">
    <w:pPr>
      <w:pStyle w:val="Footer"/>
      <w:pBdr>
        <w:top w:val="single" w:sz="4" w:space="1" w:color="007934"/>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22A7F" w14:textId="77777777" w:rsidR="00B107EF" w:rsidRDefault="00B107EF">
      <w:r>
        <w:separator/>
      </w:r>
    </w:p>
  </w:footnote>
  <w:footnote w:type="continuationSeparator" w:id="0">
    <w:p w14:paraId="36297696" w14:textId="77777777" w:rsidR="00B107EF" w:rsidRDefault="00B107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BA229" w14:textId="77777777" w:rsidR="00F16387" w:rsidRDefault="00000000" w:rsidP="00500174">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93BBF" w14:textId="77777777" w:rsidR="008B0E5D" w:rsidRDefault="00CE3588" w:rsidP="00A0156F">
    <w:pPr>
      <w:pStyle w:val="Coverpage-reportnumber"/>
    </w:pPr>
    <w:r>
      <w:rPr>
        <w:noProof/>
        <w:lang w:eastAsia="en-US"/>
      </w:rPr>
      <w:drawing>
        <wp:anchor distT="0" distB="0" distL="114300" distR="114300" simplePos="0" relativeHeight="251664384" behindDoc="1" locked="0" layoutInCell="1" allowOverlap="1" wp14:anchorId="3CEF3A77" wp14:editId="40A2C3C4">
          <wp:simplePos x="0" y="0"/>
          <wp:positionH relativeFrom="margin">
            <wp:align>center</wp:align>
          </wp:positionH>
          <wp:positionV relativeFrom="paragraph">
            <wp:posOffset>-454025</wp:posOffset>
          </wp:positionV>
          <wp:extent cx="7821294" cy="10121675"/>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Report-background.jpg"/>
                  <pic:cNvPicPr/>
                </pic:nvPicPr>
                <pic:blipFill>
                  <a:blip r:embed="rId1">
                    <a:extLst>
                      <a:ext uri="{28A0092B-C50C-407E-A947-70E740481C1C}">
                        <a14:useLocalDpi xmlns:a14="http://schemas.microsoft.com/office/drawing/2010/main" val="0"/>
                      </a:ext>
                    </a:extLst>
                  </a:blip>
                  <a:stretch>
                    <a:fillRect/>
                  </a:stretch>
                </pic:blipFill>
                <pic:spPr>
                  <a:xfrm>
                    <a:off x="0" y="0"/>
                    <a:ext cx="7821294" cy="10121675"/>
                  </a:xfrm>
                  <a:prstGeom prst="rect">
                    <a:avLst/>
                  </a:prstGeom>
                </pic:spPr>
              </pic:pic>
            </a:graphicData>
          </a:graphic>
          <wp14:sizeRelH relativeFrom="page">
            <wp14:pctWidth>0</wp14:pctWidth>
          </wp14:sizeRelH>
          <wp14:sizeRelV relativeFrom="page">
            <wp14:pctHeight>0</wp14:pctHeight>
          </wp14:sizeRelV>
        </wp:anchor>
      </w:drawing>
    </w:r>
    <w:sdt>
      <w:sdtPr>
        <w:id w:val="410207469"/>
        <w:docPartObj>
          <w:docPartGallery w:val="Watermarks"/>
          <w:docPartUnique/>
        </w:docPartObj>
      </w:sdtPr>
      <w:sdtContent/>
    </w:sdt>
    <w:r w:rsidR="0054472B" w:rsidRPr="00CF6DEC">
      <w:t>ORNL/</w:t>
    </w:r>
    <w:r w:rsidR="0054472B">
      <w:t>LTR</w:t>
    </w:r>
    <w:r w:rsidR="0054472B" w:rsidRPr="00CF6DEC">
      <w:t>-XXXX/X</w:t>
    </w:r>
    <w:r w:rsidR="00C34949">
      <w:t>X</w:t>
    </w:r>
    <w:r w:rsidR="0054472B" w:rsidRPr="00CF6DEC">
      <w:t>X</w:t>
    </w:r>
  </w:p>
  <w:p w14:paraId="744607FE" w14:textId="77777777" w:rsidR="00AF0417"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90D5F" w14:textId="77777777" w:rsidR="00AF0417" w:rsidRPr="00482DAA" w:rsidRDefault="00000000" w:rsidP="00500174">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8A42" w14:textId="77777777" w:rsidR="00D64DD4" w:rsidRDefault="0000000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2E9E1" w14:textId="77777777" w:rsidR="00AF0417" w:rsidRPr="00AF09EB" w:rsidRDefault="00000000" w:rsidP="00AF09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4546DB4A"/>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038E131D"/>
    <w:multiLevelType w:val="hybridMultilevel"/>
    <w:tmpl w:val="D41CE70A"/>
    <w:lvl w:ilvl="0" w:tplc="B3BA71CC">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B63AD0"/>
    <w:multiLevelType w:val="multilevel"/>
    <w:tmpl w:val="64A0CC58"/>
    <w:styleLink w:val="Style1"/>
    <w:lvl w:ilvl="0">
      <w:start w:val="1"/>
      <w:numFmt w:val="upperLetter"/>
      <w:pStyle w:val="Heading9"/>
      <w:suff w:val="space"/>
      <w:lvlText w:val="APPENDIX %1."/>
      <w:lvlJc w:val="left"/>
      <w:pPr>
        <w:ind w:left="720" w:hanging="360"/>
      </w:pPr>
      <w:rPr>
        <w:rFonts w:ascii="Times New Roman" w:hAnsi="Times New Roman" w:hint="default"/>
        <w:b/>
        <w:i w:val="0"/>
        <w:caps/>
        <w:sz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8E70AB0"/>
    <w:multiLevelType w:val="hybridMultilevel"/>
    <w:tmpl w:val="6F322ABE"/>
    <w:lvl w:ilvl="0" w:tplc="3ABE0AEE">
      <w:start w:val="1"/>
      <w:numFmt w:val="decimal"/>
      <w:lvlText w:val="%1."/>
      <w:lvlJc w:val="left"/>
      <w:pPr>
        <w:tabs>
          <w:tab w:val="num" w:pos="720"/>
        </w:tabs>
        <w:ind w:left="720" w:hanging="360"/>
      </w:pPr>
    </w:lvl>
    <w:lvl w:ilvl="1" w:tplc="978EB1E4" w:tentative="1">
      <w:start w:val="1"/>
      <w:numFmt w:val="decimal"/>
      <w:lvlText w:val="%2."/>
      <w:lvlJc w:val="left"/>
      <w:pPr>
        <w:tabs>
          <w:tab w:val="num" w:pos="1440"/>
        </w:tabs>
        <w:ind w:left="1440" w:hanging="360"/>
      </w:pPr>
    </w:lvl>
    <w:lvl w:ilvl="2" w:tplc="F93C2F7A" w:tentative="1">
      <w:start w:val="1"/>
      <w:numFmt w:val="decimal"/>
      <w:lvlText w:val="%3."/>
      <w:lvlJc w:val="left"/>
      <w:pPr>
        <w:tabs>
          <w:tab w:val="num" w:pos="2160"/>
        </w:tabs>
        <w:ind w:left="2160" w:hanging="360"/>
      </w:pPr>
    </w:lvl>
    <w:lvl w:ilvl="3" w:tplc="BECC48BA" w:tentative="1">
      <w:start w:val="1"/>
      <w:numFmt w:val="decimal"/>
      <w:lvlText w:val="%4."/>
      <w:lvlJc w:val="left"/>
      <w:pPr>
        <w:tabs>
          <w:tab w:val="num" w:pos="2880"/>
        </w:tabs>
        <w:ind w:left="2880" w:hanging="360"/>
      </w:pPr>
    </w:lvl>
    <w:lvl w:ilvl="4" w:tplc="79321016" w:tentative="1">
      <w:start w:val="1"/>
      <w:numFmt w:val="decimal"/>
      <w:lvlText w:val="%5."/>
      <w:lvlJc w:val="left"/>
      <w:pPr>
        <w:tabs>
          <w:tab w:val="num" w:pos="3600"/>
        </w:tabs>
        <w:ind w:left="3600" w:hanging="360"/>
      </w:pPr>
    </w:lvl>
    <w:lvl w:ilvl="5" w:tplc="60C87504" w:tentative="1">
      <w:start w:val="1"/>
      <w:numFmt w:val="decimal"/>
      <w:lvlText w:val="%6."/>
      <w:lvlJc w:val="left"/>
      <w:pPr>
        <w:tabs>
          <w:tab w:val="num" w:pos="4320"/>
        </w:tabs>
        <w:ind w:left="4320" w:hanging="360"/>
      </w:pPr>
    </w:lvl>
    <w:lvl w:ilvl="6" w:tplc="BF1E73E6" w:tentative="1">
      <w:start w:val="1"/>
      <w:numFmt w:val="decimal"/>
      <w:lvlText w:val="%7."/>
      <w:lvlJc w:val="left"/>
      <w:pPr>
        <w:tabs>
          <w:tab w:val="num" w:pos="5040"/>
        </w:tabs>
        <w:ind w:left="5040" w:hanging="360"/>
      </w:pPr>
    </w:lvl>
    <w:lvl w:ilvl="7" w:tplc="C21E9782" w:tentative="1">
      <w:start w:val="1"/>
      <w:numFmt w:val="decimal"/>
      <w:lvlText w:val="%8."/>
      <w:lvlJc w:val="left"/>
      <w:pPr>
        <w:tabs>
          <w:tab w:val="num" w:pos="5760"/>
        </w:tabs>
        <w:ind w:left="5760" w:hanging="360"/>
      </w:pPr>
    </w:lvl>
    <w:lvl w:ilvl="8" w:tplc="00CE39A0" w:tentative="1">
      <w:start w:val="1"/>
      <w:numFmt w:val="decimal"/>
      <w:lvlText w:val="%9."/>
      <w:lvlJc w:val="left"/>
      <w:pPr>
        <w:tabs>
          <w:tab w:val="num" w:pos="6480"/>
        </w:tabs>
        <w:ind w:left="6480" w:hanging="360"/>
      </w:pPr>
    </w:lvl>
  </w:abstractNum>
  <w:abstractNum w:abstractNumId="4" w15:restartNumberingAfterBreak="0">
    <w:nsid w:val="1F942671"/>
    <w:multiLevelType w:val="hybridMultilevel"/>
    <w:tmpl w:val="993AD2F2"/>
    <w:lvl w:ilvl="0" w:tplc="0966CB32">
      <w:start w:val="1"/>
      <w:numFmt w:val="bullet"/>
      <w:pStyle w:val="ListParagraph"/>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6C16CA"/>
    <w:multiLevelType w:val="hybridMultilevel"/>
    <w:tmpl w:val="DF48672E"/>
    <w:lvl w:ilvl="0" w:tplc="A4EA191A">
      <w:start w:val="1"/>
      <w:numFmt w:val="bullet"/>
      <w:pStyle w:val="LISTDashed"/>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9F6D7B"/>
    <w:multiLevelType w:val="hybridMultilevel"/>
    <w:tmpl w:val="CC1835C4"/>
    <w:lvl w:ilvl="0" w:tplc="6EE487F6">
      <w:start w:val="1"/>
      <w:numFmt w:val="bullet"/>
      <w:pStyle w:val="LISTBulletlast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9C640F"/>
    <w:multiLevelType w:val="hybridMultilevel"/>
    <w:tmpl w:val="D63437F6"/>
    <w:lvl w:ilvl="0" w:tplc="38AED910">
      <w:start w:val="1"/>
      <w:numFmt w:val="bullet"/>
      <w:lvlText w:val="•"/>
      <w:lvlJc w:val="left"/>
      <w:pPr>
        <w:tabs>
          <w:tab w:val="num" w:pos="720"/>
        </w:tabs>
        <w:ind w:left="720" w:hanging="360"/>
      </w:pPr>
      <w:rPr>
        <w:rFonts w:ascii="Century Gothic" w:hAnsi="Century Gothic" w:hint="default"/>
      </w:rPr>
    </w:lvl>
    <w:lvl w:ilvl="1" w:tplc="D518B87E">
      <w:numFmt w:val="bullet"/>
      <w:lvlText w:val="–"/>
      <w:lvlJc w:val="left"/>
      <w:pPr>
        <w:tabs>
          <w:tab w:val="num" w:pos="1440"/>
        </w:tabs>
        <w:ind w:left="1440" w:hanging="360"/>
      </w:pPr>
      <w:rPr>
        <w:rFonts w:ascii="Century Gothic" w:hAnsi="Century Gothic" w:hint="default"/>
      </w:rPr>
    </w:lvl>
    <w:lvl w:ilvl="2" w:tplc="577ED6EA">
      <w:numFmt w:val="bullet"/>
      <w:lvlText w:val="•"/>
      <w:lvlJc w:val="left"/>
      <w:pPr>
        <w:tabs>
          <w:tab w:val="num" w:pos="2160"/>
        </w:tabs>
        <w:ind w:left="2160" w:hanging="360"/>
      </w:pPr>
      <w:rPr>
        <w:rFonts w:ascii="Century Gothic" w:hAnsi="Century Gothic" w:hint="default"/>
      </w:rPr>
    </w:lvl>
    <w:lvl w:ilvl="3" w:tplc="68EEE9D6" w:tentative="1">
      <w:start w:val="1"/>
      <w:numFmt w:val="bullet"/>
      <w:lvlText w:val="•"/>
      <w:lvlJc w:val="left"/>
      <w:pPr>
        <w:tabs>
          <w:tab w:val="num" w:pos="2880"/>
        </w:tabs>
        <w:ind w:left="2880" w:hanging="360"/>
      </w:pPr>
      <w:rPr>
        <w:rFonts w:ascii="Century Gothic" w:hAnsi="Century Gothic" w:hint="default"/>
      </w:rPr>
    </w:lvl>
    <w:lvl w:ilvl="4" w:tplc="4B0A3256" w:tentative="1">
      <w:start w:val="1"/>
      <w:numFmt w:val="bullet"/>
      <w:lvlText w:val="•"/>
      <w:lvlJc w:val="left"/>
      <w:pPr>
        <w:tabs>
          <w:tab w:val="num" w:pos="3600"/>
        </w:tabs>
        <w:ind w:left="3600" w:hanging="360"/>
      </w:pPr>
      <w:rPr>
        <w:rFonts w:ascii="Century Gothic" w:hAnsi="Century Gothic" w:hint="default"/>
      </w:rPr>
    </w:lvl>
    <w:lvl w:ilvl="5" w:tplc="6BC845C4" w:tentative="1">
      <w:start w:val="1"/>
      <w:numFmt w:val="bullet"/>
      <w:lvlText w:val="•"/>
      <w:lvlJc w:val="left"/>
      <w:pPr>
        <w:tabs>
          <w:tab w:val="num" w:pos="4320"/>
        </w:tabs>
        <w:ind w:left="4320" w:hanging="360"/>
      </w:pPr>
      <w:rPr>
        <w:rFonts w:ascii="Century Gothic" w:hAnsi="Century Gothic" w:hint="default"/>
      </w:rPr>
    </w:lvl>
    <w:lvl w:ilvl="6" w:tplc="DE0271A8" w:tentative="1">
      <w:start w:val="1"/>
      <w:numFmt w:val="bullet"/>
      <w:lvlText w:val="•"/>
      <w:lvlJc w:val="left"/>
      <w:pPr>
        <w:tabs>
          <w:tab w:val="num" w:pos="5040"/>
        </w:tabs>
        <w:ind w:left="5040" w:hanging="360"/>
      </w:pPr>
      <w:rPr>
        <w:rFonts w:ascii="Century Gothic" w:hAnsi="Century Gothic" w:hint="default"/>
      </w:rPr>
    </w:lvl>
    <w:lvl w:ilvl="7" w:tplc="96B6483C" w:tentative="1">
      <w:start w:val="1"/>
      <w:numFmt w:val="bullet"/>
      <w:lvlText w:val="•"/>
      <w:lvlJc w:val="left"/>
      <w:pPr>
        <w:tabs>
          <w:tab w:val="num" w:pos="5760"/>
        </w:tabs>
        <w:ind w:left="5760" w:hanging="360"/>
      </w:pPr>
      <w:rPr>
        <w:rFonts w:ascii="Century Gothic" w:hAnsi="Century Gothic" w:hint="default"/>
      </w:rPr>
    </w:lvl>
    <w:lvl w:ilvl="8" w:tplc="7A0A6934" w:tentative="1">
      <w:start w:val="1"/>
      <w:numFmt w:val="bullet"/>
      <w:lvlText w:val="•"/>
      <w:lvlJc w:val="left"/>
      <w:pPr>
        <w:tabs>
          <w:tab w:val="num" w:pos="6480"/>
        </w:tabs>
        <w:ind w:left="6480" w:hanging="360"/>
      </w:pPr>
      <w:rPr>
        <w:rFonts w:ascii="Century Gothic" w:hAnsi="Century Gothic" w:hint="default"/>
      </w:rPr>
    </w:lvl>
  </w:abstractNum>
  <w:abstractNum w:abstractNumId="8" w15:restartNumberingAfterBreak="0">
    <w:nsid w:val="63091E46"/>
    <w:multiLevelType w:val="multilevel"/>
    <w:tmpl w:val="FD428BE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C106E0B"/>
    <w:multiLevelType w:val="hybridMultilevel"/>
    <w:tmpl w:val="56D20A6C"/>
    <w:lvl w:ilvl="0" w:tplc="304AFD76">
      <w:start w:val="1"/>
      <w:numFmt w:val="bullet"/>
      <w:pStyle w:val="LISTBulleto"/>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FF398F"/>
    <w:multiLevelType w:val="hybridMultilevel"/>
    <w:tmpl w:val="1452D1E2"/>
    <w:lvl w:ilvl="0" w:tplc="463832D8">
      <w:start w:val="1"/>
      <w:numFmt w:val="bullet"/>
      <w:pStyle w:val="LIST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07057E8"/>
    <w:multiLevelType w:val="hybridMultilevel"/>
    <w:tmpl w:val="5AE2F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D36AC5"/>
    <w:multiLevelType w:val="multilevel"/>
    <w:tmpl w:val="7FBE006C"/>
    <w:lvl w:ilvl="0">
      <w:start w:val="1"/>
      <w:numFmt w:val="upperLetter"/>
      <w:suff w:val="space"/>
      <w:lvlText w:val="APPENDIX %1."/>
      <w:lvlJc w:val="left"/>
      <w:pPr>
        <w:ind w:left="720" w:hanging="360"/>
      </w:pPr>
      <w:rPr>
        <w:rFonts w:ascii="Times New Roman" w:hAnsi="Times New Roman" w:hint="default"/>
        <w:b/>
        <w:i w:val="0"/>
        <w:caps/>
        <w:sz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636447603">
    <w:abstractNumId w:val="8"/>
  </w:num>
  <w:num w:numId="2" w16cid:durableId="1582641323">
    <w:abstractNumId w:val="8"/>
  </w:num>
  <w:num w:numId="3" w16cid:durableId="636185469">
    <w:abstractNumId w:val="8"/>
  </w:num>
  <w:num w:numId="4" w16cid:durableId="1073812645">
    <w:abstractNumId w:val="8"/>
  </w:num>
  <w:num w:numId="5" w16cid:durableId="1993871344">
    <w:abstractNumId w:val="8"/>
  </w:num>
  <w:num w:numId="6" w16cid:durableId="546184151">
    <w:abstractNumId w:val="12"/>
  </w:num>
  <w:num w:numId="7" w16cid:durableId="1359964562">
    <w:abstractNumId w:val="10"/>
  </w:num>
  <w:num w:numId="8" w16cid:durableId="661739542">
    <w:abstractNumId w:val="5"/>
  </w:num>
  <w:num w:numId="9" w16cid:durableId="580021598">
    <w:abstractNumId w:val="10"/>
  </w:num>
  <w:num w:numId="10" w16cid:durableId="210044238">
    <w:abstractNumId w:val="9"/>
  </w:num>
  <w:num w:numId="11" w16cid:durableId="1661958953">
    <w:abstractNumId w:val="2"/>
  </w:num>
  <w:num w:numId="12" w16cid:durableId="1777365283">
    <w:abstractNumId w:val="0"/>
  </w:num>
  <w:num w:numId="13" w16cid:durableId="13430118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77353414">
    <w:abstractNumId w:val="1"/>
  </w:num>
  <w:num w:numId="15" w16cid:durableId="1800148954">
    <w:abstractNumId w:val="6"/>
  </w:num>
  <w:num w:numId="16" w16cid:durableId="891162299">
    <w:abstractNumId w:val="3"/>
  </w:num>
  <w:num w:numId="17" w16cid:durableId="322439709">
    <w:abstractNumId w:val="7"/>
  </w:num>
  <w:num w:numId="18" w16cid:durableId="1776097137">
    <w:abstractNumId w:val="11"/>
  </w:num>
  <w:num w:numId="19" w16cid:durableId="14749068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3BB"/>
    <w:rsid w:val="00004138"/>
    <w:rsid w:val="00007941"/>
    <w:rsid w:val="00024067"/>
    <w:rsid w:val="00096CB2"/>
    <w:rsid w:val="000B6ABF"/>
    <w:rsid w:val="000D1C87"/>
    <w:rsid w:val="000D2ECA"/>
    <w:rsid w:val="000D7500"/>
    <w:rsid w:val="000E1D5B"/>
    <w:rsid w:val="000E4B44"/>
    <w:rsid w:val="001007B1"/>
    <w:rsid w:val="00141044"/>
    <w:rsid w:val="00146E3E"/>
    <w:rsid w:val="0016111F"/>
    <w:rsid w:val="00182668"/>
    <w:rsid w:val="00193519"/>
    <w:rsid w:val="001A6FF8"/>
    <w:rsid w:val="001B5C69"/>
    <w:rsid w:val="001C71AD"/>
    <w:rsid w:val="001F5543"/>
    <w:rsid w:val="0022631E"/>
    <w:rsid w:val="002B0A91"/>
    <w:rsid w:val="002B48D7"/>
    <w:rsid w:val="002B7DF3"/>
    <w:rsid w:val="002D1460"/>
    <w:rsid w:val="002E2EDE"/>
    <w:rsid w:val="003355F4"/>
    <w:rsid w:val="003371B4"/>
    <w:rsid w:val="003423BA"/>
    <w:rsid w:val="003635F6"/>
    <w:rsid w:val="00395B1B"/>
    <w:rsid w:val="003A24A2"/>
    <w:rsid w:val="003A3DF0"/>
    <w:rsid w:val="003C2A20"/>
    <w:rsid w:val="003F73F8"/>
    <w:rsid w:val="00421102"/>
    <w:rsid w:val="00422561"/>
    <w:rsid w:val="00425352"/>
    <w:rsid w:val="004278A5"/>
    <w:rsid w:val="0043167A"/>
    <w:rsid w:val="00465CB9"/>
    <w:rsid w:val="004705C3"/>
    <w:rsid w:val="004814B8"/>
    <w:rsid w:val="004927A2"/>
    <w:rsid w:val="004F11FD"/>
    <w:rsid w:val="00542862"/>
    <w:rsid w:val="0054472B"/>
    <w:rsid w:val="005558D3"/>
    <w:rsid w:val="005647C4"/>
    <w:rsid w:val="0059211D"/>
    <w:rsid w:val="00592D0E"/>
    <w:rsid w:val="005A10D8"/>
    <w:rsid w:val="005A6F64"/>
    <w:rsid w:val="005F08B8"/>
    <w:rsid w:val="005F2E1B"/>
    <w:rsid w:val="006047AF"/>
    <w:rsid w:val="00605559"/>
    <w:rsid w:val="006253BB"/>
    <w:rsid w:val="00625E17"/>
    <w:rsid w:val="00675BF7"/>
    <w:rsid w:val="006920C4"/>
    <w:rsid w:val="006A284E"/>
    <w:rsid w:val="006A45CA"/>
    <w:rsid w:val="006B6C74"/>
    <w:rsid w:val="006E0E2A"/>
    <w:rsid w:val="006F1AA4"/>
    <w:rsid w:val="00707CC9"/>
    <w:rsid w:val="00721DB7"/>
    <w:rsid w:val="0073686F"/>
    <w:rsid w:val="00761231"/>
    <w:rsid w:val="00761553"/>
    <w:rsid w:val="00773931"/>
    <w:rsid w:val="00796E36"/>
    <w:rsid w:val="007A582D"/>
    <w:rsid w:val="007C1FBE"/>
    <w:rsid w:val="007C46E7"/>
    <w:rsid w:val="007C688F"/>
    <w:rsid w:val="007D22EC"/>
    <w:rsid w:val="007D5BE3"/>
    <w:rsid w:val="007F4D59"/>
    <w:rsid w:val="00800A58"/>
    <w:rsid w:val="00816EF3"/>
    <w:rsid w:val="00837CBD"/>
    <w:rsid w:val="00847061"/>
    <w:rsid w:val="00847317"/>
    <w:rsid w:val="0086392C"/>
    <w:rsid w:val="00867ADD"/>
    <w:rsid w:val="00870E7A"/>
    <w:rsid w:val="00871764"/>
    <w:rsid w:val="008776E9"/>
    <w:rsid w:val="008A1151"/>
    <w:rsid w:val="008D4A7F"/>
    <w:rsid w:val="008E2B5A"/>
    <w:rsid w:val="00902D0E"/>
    <w:rsid w:val="00917C2E"/>
    <w:rsid w:val="009235CF"/>
    <w:rsid w:val="00946560"/>
    <w:rsid w:val="0096772E"/>
    <w:rsid w:val="00990287"/>
    <w:rsid w:val="00997BD8"/>
    <w:rsid w:val="009B2487"/>
    <w:rsid w:val="009B3063"/>
    <w:rsid w:val="009C502D"/>
    <w:rsid w:val="009D6CAF"/>
    <w:rsid w:val="009E7CDF"/>
    <w:rsid w:val="00A054AE"/>
    <w:rsid w:val="00A40BC6"/>
    <w:rsid w:val="00A5181F"/>
    <w:rsid w:val="00A67AF8"/>
    <w:rsid w:val="00A87063"/>
    <w:rsid w:val="00A911E9"/>
    <w:rsid w:val="00AA6B47"/>
    <w:rsid w:val="00AC0FC6"/>
    <w:rsid w:val="00AE295A"/>
    <w:rsid w:val="00B00C0F"/>
    <w:rsid w:val="00B107EF"/>
    <w:rsid w:val="00B24D68"/>
    <w:rsid w:val="00B31286"/>
    <w:rsid w:val="00B41B50"/>
    <w:rsid w:val="00B66F9C"/>
    <w:rsid w:val="00B74DAD"/>
    <w:rsid w:val="00B84A46"/>
    <w:rsid w:val="00B96C2F"/>
    <w:rsid w:val="00BA1120"/>
    <w:rsid w:val="00BD65D0"/>
    <w:rsid w:val="00BE11FB"/>
    <w:rsid w:val="00C3397F"/>
    <w:rsid w:val="00C34949"/>
    <w:rsid w:val="00C5611D"/>
    <w:rsid w:val="00C84ED2"/>
    <w:rsid w:val="00CC007D"/>
    <w:rsid w:val="00CC6A44"/>
    <w:rsid w:val="00CE1CD6"/>
    <w:rsid w:val="00CE3588"/>
    <w:rsid w:val="00D17345"/>
    <w:rsid w:val="00D27152"/>
    <w:rsid w:val="00D42E41"/>
    <w:rsid w:val="00D549DA"/>
    <w:rsid w:val="00D61042"/>
    <w:rsid w:val="00D71D6D"/>
    <w:rsid w:val="00D75002"/>
    <w:rsid w:val="00D75826"/>
    <w:rsid w:val="00DB2D0D"/>
    <w:rsid w:val="00DC255F"/>
    <w:rsid w:val="00DC60C4"/>
    <w:rsid w:val="00DD6AC7"/>
    <w:rsid w:val="00DE5544"/>
    <w:rsid w:val="00E31FA0"/>
    <w:rsid w:val="00E4746B"/>
    <w:rsid w:val="00E83C4B"/>
    <w:rsid w:val="00E878DB"/>
    <w:rsid w:val="00E90BFD"/>
    <w:rsid w:val="00EB2FFB"/>
    <w:rsid w:val="00EB5BC9"/>
    <w:rsid w:val="00EB6031"/>
    <w:rsid w:val="00EC1A23"/>
    <w:rsid w:val="00F005BE"/>
    <w:rsid w:val="00F35757"/>
    <w:rsid w:val="00F527EB"/>
    <w:rsid w:val="00F53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0A9DAF"/>
  <w15:docId w15:val="{06A5BE46-84EB-B34B-B7C6-83C385CA6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C0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4472B"/>
    <w:pPr>
      <w:keepNext/>
      <w:numPr>
        <w:numId w:val="5"/>
      </w:numPr>
      <w:tabs>
        <w:tab w:val="left" w:pos="450"/>
      </w:tabs>
      <w:spacing w:after="360"/>
      <w:jc w:val="center"/>
      <w:outlineLvl w:val="0"/>
    </w:pPr>
    <w:rPr>
      <w:b/>
      <w:caps/>
      <w:snapToGrid w:val="0"/>
      <w:sz w:val="22"/>
      <w:szCs w:val="20"/>
    </w:rPr>
  </w:style>
  <w:style w:type="paragraph" w:styleId="Heading2">
    <w:name w:val="heading 2"/>
    <w:basedOn w:val="Normal"/>
    <w:next w:val="Normal"/>
    <w:link w:val="Heading2Char"/>
    <w:qFormat/>
    <w:rsid w:val="0054472B"/>
    <w:pPr>
      <w:keepNext/>
      <w:numPr>
        <w:ilvl w:val="1"/>
        <w:numId w:val="5"/>
      </w:numPr>
      <w:tabs>
        <w:tab w:val="left" w:pos="540"/>
      </w:tabs>
      <w:spacing w:before="240" w:after="240"/>
      <w:outlineLvl w:val="1"/>
    </w:pPr>
    <w:rPr>
      <w:b/>
      <w:caps/>
      <w:snapToGrid w:val="0"/>
      <w:sz w:val="22"/>
      <w:szCs w:val="20"/>
    </w:rPr>
  </w:style>
  <w:style w:type="paragraph" w:styleId="Heading3">
    <w:name w:val="heading 3"/>
    <w:basedOn w:val="Normal"/>
    <w:next w:val="Normal"/>
    <w:link w:val="Heading3Char"/>
    <w:qFormat/>
    <w:rsid w:val="0054472B"/>
    <w:pPr>
      <w:keepNext/>
      <w:numPr>
        <w:ilvl w:val="2"/>
        <w:numId w:val="5"/>
      </w:numPr>
      <w:tabs>
        <w:tab w:val="left" w:pos="720"/>
      </w:tabs>
      <w:spacing w:before="240" w:after="240"/>
      <w:outlineLvl w:val="2"/>
    </w:pPr>
    <w:rPr>
      <w:b/>
      <w:snapToGrid w:val="0"/>
      <w:sz w:val="22"/>
      <w:szCs w:val="20"/>
    </w:rPr>
  </w:style>
  <w:style w:type="paragraph" w:styleId="Heading4">
    <w:name w:val="heading 4"/>
    <w:basedOn w:val="Normal"/>
    <w:next w:val="Normal"/>
    <w:link w:val="Heading4Char"/>
    <w:qFormat/>
    <w:rsid w:val="0054472B"/>
    <w:pPr>
      <w:keepNext/>
      <w:numPr>
        <w:ilvl w:val="3"/>
        <w:numId w:val="5"/>
      </w:numPr>
      <w:tabs>
        <w:tab w:val="left" w:pos="900"/>
      </w:tabs>
      <w:spacing w:before="240" w:after="240"/>
      <w:outlineLvl w:val="3"/>
    </w:pPr>
    <w:rPr>
      <w:b/>
      <w:snapToGrid w:val="0"/>
      <w:sz w:val="22"/>
      <w:szCs w:val="20"/>
    </w:rPr>
  </w:style>
  <w:style w:type="paragraph" w:styleId="Heading5">
    <w:name w:val="heading 5"/>
    <w:basedOn w:val="Normal"/>
    <w:next w:val="Normal"/>
    <w:link w:val="Heading5Char"/>
    <w:uiPriority w:val="9"/>
    <w:unhideWhenUsed/>
    <w:qFormat/>
    <w:rsid w:val="0054472B"/>
    <w:pPr>
      <w:keepNext/>
      <w:spacing w:after="240"/>
      <w:outlineLvl w:val="4"/>
    </w:pPr>
    <w:rPr>
      <w:b/>
      <w:bCs/>
      <w:i/>
      <w:iCs/>
      <w:snapToGrid w:val="0"/>
      <w:sz w:val="22"/>
      <w:szCs w:val="26"/>
    </w:rPr>
  </w:style>
  <w:style w:type="paragraph" w:styleId="Heading6">
    <w:name w:val="heading 6"/>
    <w:basedOn w:val="Normal"/>
    <w:next w:val="Normal"/>
    <w:link w:val="Heading6Char"/>
    <w:uiPriority w:val="9"/>
    <w:unhideWhenUsed/>
    <w:qFormat/>
    <w:rsid w:val="0054472B"/>
    <w:pPr>
      <w:keepNext/>
      <w:spacing w:after="240"/>
      <w:outlineLvl w:val="5"/>
    </w:pPr>
    <w:rPr>
      <w:b/>
      <w:bCs/>
      <w:snapToGrid w:val="0"/>
      <w:sz w:val="22"/>
      <w:szCs w:val="20"/>
    </w:rPr>
  </w:style>
  <w:style w:type="paragraph" w:styleId="Heading7">
    <w:name w:val="heading 7"/>
    <w:basedOn w:val="Normal"/>
    <w:next w:val="Normal"/>
    <w:link w:val="Heading7Char"/>
    <w:uiPriority w:val="9"/>
    <w:unhideWhenUsed/>
    <w:qFormat/>
    <w:rsid w:val="0054472B"/>
    <w:pPr>
      <w:keepNext/>
      <w:spacing w:after="240"/>
      <w:outlineLvl w:val="6"/>
    </w:pPr>
    <w:rPr>
      <w:i/>
      <w:snapToGrid w:val="0"/>
      <w:sz w:val="22"/>
    </w:rPr>
  </w:style>
  <w:style w:type="paragraph" w:styleId="Heading8">
    <w:name w:val="heading 8"/>
    <w:basedOn w:val="Normal"/>
    <w:next w:val="Normal"/>
    <w:link w:val="Heading8Char"/>
    <w:uiPriority w:val="9"/>
    <w:unhideWhenUsed/>
    <w:qFormat/>
    <w:rsid w:val="0054472B"/>
    <w:pPr>
      <w:keepNext/>
      <w:spacing w:after="240"/>
      <w:outlineLvl w:val="7"/>
    </w:pPr>
    <w:rPr>
      <w:iCs/>
      <w:snapToGrid w:val="0"/>
      <w:sz w:val="22"/>
      <w:u w:val="single"/>
    </w:rPr>
  </w:style>
  <w:style w:type="paragraph" w:styleId="Heading9">
    <w:name w:val="heading 9"/>
    <w:basedOn w:val="Normal"/>
    <w:next w:val="Normal"/>
    <w:link w:val="Heading9Char"/>
    <w:uiPriority w:val="9"/>
    <w:unhideWhenUsed/>
    <w:qFormat/>
    <w:rsid w:val="0054472B"/>
    <w:pPr>
      <w:numPr>
        <w:numId w:val="11"/>
      </w:numPr>
      <w:spacing w:before="240" w:after="240"/>
      <w:jc w:val="center"/>
      <w:outlineLvl w:val="8"/>
    </w:pPr>
    <w:rPr>
      <w:b/>
      <w:snapToGrid w:val="0"/>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4472B"/>
    <w:rPr>
      <w:rFonts w:ascii="Times New Roman" w:eastAsia="Times New Roman" w:hAnsi="Times New Roman" w:cs="Times New Roman"/>
      <w:b/>
      <w:caps/>
      <w:snapToGrid w:val="0"/>
      <w:szCs w:val="20"/>
    </w:rPr>
  </w:style>
  <w:style w:type="paragraph" w:styleId="BlockText">
    <w:name w:val="Block Text"/>
    <w:basedOn w:val="Normal"/>
    <w:uiPriority w:val="99"/>
    <w:unhideWhenUsed/>
    <w:rsid w:val="0054472B"/>
    <w:pPr>
      <w:spacing w:after="240"/>
    </w:pPr>
    <w:rPr>
      <w:snapToGrid w:val="0"/>
      <w:sz w:val="22"/>
      <w:szCs w:val="22"/>
    </w:rPr>
  </w:style>
  <w:style w:type="paragraph" w:customStyle="1" w:styleId="ClearanceNotice">
    <w:name w:val="Clearance Notice"/>
    <w:basedOn w:val="Normal"/>
    <w:qFormat/>
    <w:rsid w:val="0054472B"/>
    <w:pPr>
      <w:jc w:val="center"/>
    </w:pPr>
    <w:rPr>
      <w:rFonts w:ascii="Arial" w:hAnsi="Arial" w:cs="Arial"/>
      <w:b/>
      <w:bCs/>
      <w:snapToGrid w:val="0"/>
      <w:sz w:val="22"/>
      <w:szCs w:val="20"/>
    </w:rPr>
  </w:style>
  <w:style w:type="paragraph" w:customStyle="1" w:styleId="Coverpage-authornames">
    <w:name w:val="Cover page-author names"/>
    <w:basedOn w:val="Normal"/>
    <w:rsid w:val="0054472B"/>
    <w:pPr>
      <w:widowControl w:val="0"/>
      <w:ind w:left="216" w:right="5760" w:hanging="216"/>
    </w:pPr>
    <w:rPr>
      <w:rFonts w:ascii="Arial" w:hAnsi="Arial" w:cs="Arial"/>
      <w:snapToGrid w:val="0"/>
      <w:szCs w:val="20"/>
    </w:rPr>
  </w:style>
  <w:style w:type="paragraph" w:customStyle="1" w:styleId="Coverpage-date">
    <w:name w:val="Cover page-date"/>
    <w:basedOn w:val="Normal"/>
    <w:next w:val="Normal"/>
    <w:rsid w:val="00D549DA"/>
    <w:pPr>
      <w:widowControl w:val="0"/>
      <w:tabs>
        <w:tab w:val="left" w:pos="360"/>
      </w:tabs>
      <w:spacing w:before="240"/>
    </w:pPr>
    <w:rPr>
      <w:rFonts w:ascii="Arial" w:hAnsi="Arial" w:cs="Arial"/>
      <w:b/>
      <w:snapToGrid w:val="0"/>
      <w:szCs w:val="20"/>
    </w:rPr>
  </w:style>
  <w:style w:type="paragraph" w:customStyle="1" w:styleId="FIGUREposition">
    <w:name w:val="FIGURE position"/>
    <w:basedOn w:val="Normal"/>
    <w:rsid w:val="0054472B"/>
    <w:pPr>
      <w:keepNext/>
      <w:tabs>
        <w:tab w:val="left" w:pos="360"/>
      </w:tabs>
      <w:spacing w:before="120" w:after="120"/>
      <w:jc w:val="center"/>
    </w:pPr>
    <w:rPr>
      <w:snapToGrid w:val="0"/>
      <w:sz w:val="22"/>
      <w:szCs w:val="20"/>
    </w:rPr>
  </w:style>
  <w:style w:type="paragraph" w:customStyle="1" w:styleId="Coverpage-figureposition">
    <w:name w:val="Cover page-figure position"/>
    <w:basedOn w:val="FIGUREposition"/>
    <w:qFormat/>
    <w:rsid w:val="0054472B"/>
    <w:pPr>
      <w:spacing w:after="240"/>
    </w:pPr>
    <w:rPr>
      <w:noProof/>
      <w:snapToGrid/>
    </w:rPr>
  </w:style>
  <w:style w:type="paragraph" w:customStyle="1" w:styleId="Coverpage-reportnumber">
    <w:name w:val="Cover page-report number"/>
    <w:basedOn w:val="Normal"/>
    <w:next w:val="Normal"/>
    <w:qFormat/>
    <w:rsid w:val="0054472B"/>
    <w:pPr>
      <w:jc w:val="right"/>
    </w:pPr>
    <w:rPr>
      <w:rFonts w:ascii="Arial" w:hAnsi="Arial" w:cs="Arial"/>
      <w:b/>
      <w:bCs/>
      <w:szCs w:val="96"/>
      <w:lang w:eastAsia="ja-JP"/>
    </w:rPr>
  </w:style>
  <w:style w:type="paragraph" w:customStyle="1" w:styleId="Coverpage-reporttitle">
    <w:name w:val="Cover page-report title"/>
    <w:basedOn w:val="Normal"/>
    <w:next w:val="Normal"/>
    <w:rsid w:val="0054472B"/>
    <w:pPr>
      <w:widowControl w:val="0"/>
      <w:spacing w:line="560" w:lineRule="atLeast"/>
    </w:pPr>
    <w:rPr>
      <w:rFonts w:ascii="Arial" w:hAnsi="Arial" w:cstheme="minorHAnsi"/>
      <w:b/>
      <w:snapToGrid w:val="0"/>
      <w:sz w:val="48"/>
      <w:szCs w:val="48"/>
    </w:rPr>
  </w:style>
  <w:style w:type="paragraph" w:customStyle="1" w:styleId="DISCLAIMER-short">
    <w:name w:val="DISCLAIMER-short"/>
    <w:basedOn w:val="Normal"/>
    <w:next w:val="Normal"/>
    <w:rsid w:val="0054472B"/>
    <w:pPr>
      <w:jc w:val="both"/>
    </w:pPr>
    <w:rPr>
      <w:rFonts w:ascii="Arial" w:hAnsi="Arial" w:cs="Arial"/>
      <w:snapToGrid w:val="0"/>
      <w:sz w:val="18"/>
      <w:szCs w:val="18"/>
    </w:rPr>
  </w:style>
  <w:style w:type="paragraph" w:customStyle="1" w:styleId="FIGCAP1line">
    <w:name w:val="FIGCAP 1 line"/>
    <w:basedOn w:val="Normal"/>
    <w:next w:val="Normal"/>
    <w:rsid w:val="0054472B"/>
    <w:pPr>
      <w:spacing w:before="120" w:after="240"/>
      <w:jc w:val="center"/>
    </w:pPr>
    <w:rPr>
      <w:b/>
      <w:snapToGrid w:val="0"/>
      <w:sz w:val="20"/>
      <w:szCs w:val="22"/>
    </w:rPr>
  </w:style>
  <w:style w:type="paragraph" w:customStyle="1" w:styleId="FIGCAP1lineSeparator">
    <w:name w:val="FIGCAP 1 line Separator"/>
    <w:basedOn w:val="FIGCAP1line"/>
    <w:qFormat/>
    <w:rsid w:val="0054472B"/>
    <w:rPr>
      <w:b w:val="0"/>
    </w:rPr>
  </w:style>
  <w:style w:type="character" w:styleId="FollowedHyperlink">
    <w:name w:val="FollowedHyperlink"/>
    <w:basedOn w:val="DefaultParagraphFont"/>
    <w:uiPriority w:val="99"/>
    <w:semiHidden/>
    <w:unhideWhenUsed/>
    <w:rsid w:val="0054472B"/>
    <w:rPr>
      <w:color w:val="800080" w:themeColor="followedHyperlink"/>
      <w:u w:val="single"/>
    </w:rPr>
  </w:style>
  <w:style w:type="paragraph" w:styleId="Footer">
    <w:name w:val="footer"/>
    <w:basedOn w:val="Normal"/>
    <w:link w:val="FooterChar"/>
    <w:uiPriority w:val="99"/>
    <w:rsid w:val="0054472B"/>
    <w:pPr>
      <w:jc w:val="center"/>
    </w:pPr>
    <w:rPr>
      <w:snapToGrid w:val="0"/>
      <w:sz w:val="22"/>
      <w:szCs w:val="22"/>
    </w:rPr>
  </w:style>
  <w:style w:type="character" w:customStyle="1" w:styleId="FooterChar">
    <w:name w:val="Footer Char"/>
    <w:basedOn w:val="DefaultParagraphFont"/>
    <w:link w:val="Footer"/>
    <w:uiPriority w:val="99"/>
    <w:rsid w:val="0054472B"/>
    <w:rPr>
      <w:rFonts w:ascii="Times New Roman" w:eastAsia="Times New Roman" w:hAnsi="Times New Roman" w:cs="Times New Roman"/>
      <w:snapToGrid w:val="0"/>
    </w:rPr>
  </w:style>
  <w:style w:type="paragraph" w:customStyle="1" w:styleId="FOOTNOTE">
    <w:name w:val="FOOTNOTE"/>
    <w:basedOn w:val="Normal"/>
    <w:rsid w:val="0054472B"/>
    <w:pPr>
      <w:tabs>
        <w:tab w:val="left" w:pos="360"/>
      </w:tabs>
    </w:pPr>
    <w:rPr>
      <w:snapToGrid w:val="0"/>
      <w:sz w:val="18"/>
      <w:szCs w:val="18"/>
    </w:rPr>
  </w:style>
  <w:style w:type="paragraph" w:styleId="Header">
    <w:name w:val="header"/>
    <w:basedOn w:val="Normal"/>
    <w:link w:val="HeaderChar"/>
    <w:rsid w:val="0054472B"/>
    <w:rPr>
      <w:snapToGrid w:val="0"/>
      <w:sz w:val="22"/>
      <w:szCs w:val="22"/>
    </w:rPr>
  </w:style>
  <w:style w:type="character" w:customStyle="1" w:styleId="HeaderChar">
    <w:name w:val="Header Char"/>
    <w:basedOn w:val="DefaultParagraphFont"/>
    <w:link w:val="Header"/>
    <w:rsid w:val="0054472B"/>
    <w:rPr>
      <w:rFonts w:ascii="Times New Roman" w:eastAsia="Times New Roman" w:hAnsi="Times New Roman" w:cs="Times New Roman"/>
      <w:snapToGrid w:val="0"/>
    </w:rPr>
  </w:style>
  <w:style w:type="paragraph" w:customStyle="1" w:styleId="Heading1frontsections">
    <w:name w:val="Heading 1 (front sections)"/>
    <w:basedOn w:val="Heading1"/>
    <w:next w:val="Normal"/>
    <w:qFormat/>
    <w:rsid w:val="0054472B"/>
    <w:pPr>
      <w:numPr>
        <w:numId w:val="0"/>
      </w:numPr>
    </w:pPr>
  </w:style>
  <w:style w:type="paragraph" w:customStyle="1" w:styleId="Heading1Contents">
    <w:name w:val="Heading 1 Contents"/>
    <w:basedOn w:val="Heading1frontsections"/>
    <w:next w:val="Normal"/>
    <w:qFormat/>
    <w:rsid w:val="0054472B"/>
  </w:style>
  <w:style w:type="character" w:customStyle="1" w:styleId="Heading2Char">
    <w:name w:val="Heading 2 Char"/>
    <w:basedOn w:val="DefaultParagraphFont"/>
    <w:link w:val="Heading2"/>
    <w:rsid w:val="0054472B"/>
    <w:rPr>
      <w:rFonts w:ascii="Times New Roman" w:eastAsia="Times New Roman" w:hAnsi="Times New Roman" w:cs="Times New Roman"/>
      <w:b/>
      <w:caps/>
      <w:snapToGrid w:val="0"/>
      <w:szCs w:val="20"/>
    </w:rPr>
  </w:style>
  <w:style w:type="character" w:customStyle="1" w:styleId="Heading3Char">
    <w:name w:val="Heading 3 Char"/>
    <w:basedOn w:val="DefaultParagraphFont"/>
    <w:link w:val="Heading3"/>
    <w:rsid w:val="0054472B"/>
    <w:rPr>
      <w:rFonts w:ascii="Times New Roman" w:eastAsia="Times New Roman" w:hAnsi="Times New Roman" w:cs="Times New Roman"/>
      <w:b/>
      <w:snapToGrid w:val="0"/>
      <w:szCs w:val="20"/>
    </w:rPr>
  </w:style>
  <w:style w:type="character" w:customStyle="1" w:styleId="Heading4Char">
    <w:name w:val="Heading 4 Char"/>
    <w:basedOn w:val="DefaultParagraphFont"/>
    <w:link w:val="Heading4"/>
    <w:rsid w:val="0054472B"/>
    <w:rPr>
      <w:rFonts w:ascii="Times New Roman" w:eastAsia="Times New Roman" w:hAnsi="Times New Roman" w:cs="Times New Roman"/>
      <w:b/>
      <w:snapToGrid w:val="0"/>
      <w:szCs w:val="20"/>
    </w:rPr>
  </w:style>
  <w:style w:type="character" w:customStyle="1" w:styleId="Heading5Char">
    <w:name w:val="Heading 5 Char"/>
    <w:basedOn w:val="DefaultParagraphFont"/>
    <w:link w:val="Heading5"/>
    <w:uiPriority w:val="9"/>
    <w:rsid w:val="0054472B"/>
    <w:rPr>
      <w:rFonts w:ascii="Times New Roman" w:eastAsia="Times New Roman" w:hAnsi="Times New Roman" w:cs="Times New Roman"/>
      <w:b/>
      <w:bCs/>
      <w:i/>
      <w:iCs/>
      <w:snapToGrid w:val="0"/>
      <w:szCs w:val="26"/>
    </w:rPr>
  </w:style>
  <w:style w:type="character" w:customStyle="1" w:styleId="Heading6Char">
    <w:name w:val="Heading 6 Char"/>
    <w:basedOn w:val="DefaultParagraphFont"/>
    <w:link w:val="Heading6"/>
    <w:uiPriority w:val="9"/>
    <w:rsid w:val="0054472B"/>
    <w:rPr>
      <w:rFonts w:ascii="Times New Roman" w:eastAsia="Times New Roman" w:hAnsi="Times New Roman" w:cs="Times New Roman"/>
      <w:b/>
      <w:bCs/>
      <w:snapToGrid w:val="0"/>
      <w:szCs w:val="20"/>
    </w:rPr>
  </w:style>
  <w:style w:type="character" w:customStyle="1" w:styleId="Heading7Char">
    <w:name w:val="Heading 7 Char"/>
    <w:basedOn w:val="DefaultParagraphFont"/>
    <w:link w:val="Heading7"/>
    <w:uiPriority w:val="9"/>
    <w:rsid w:val="0054472B"/>
    <w:rPr>
      <w:rFonts w:ascii="Times New Roman" w:eastAsia="Times New Roman" w:hAnsi="Times New Roman" w:cs="Times New Roman"/>
      <w:i/>
      <w:snapToGrid w:val="0"/>
      <w:szCs w:val="24"/>
    </w:rPr>
  </w:style>
  <w:style w:type="character" w:customStyle="1" w:styleId="Heading8Char">
    <w:name w:val="Heading 8 Char"/>
    <w:basedOn w:val="DefaultParagraphFont"/>
    <w:link w:val="Heading8"/>
    <w:uiPriority w:val="9"/>
    <w:rsid w:val="0054472B"/>
    <w:rPr>
      <w:rFonts w:ascii="Times New Roman" w:eastAsia="Times New Roman" w:hAnsi="Times New Roman" w:cs="Times New Roman"/>
      <w:iCs/>
      <w:snapToGrid w:val="0"/>
      <w:szCs w:val="24"/>
      <w:u w:val="single"/>
    </w:rPr>
  </w:style>
  <w:style w:type="character" w:customStyle="1" w:styleId="Heading9Char">
    <w:name w:val="Heading 9 Char"/>
    <w:basedOn w:val="DefaultParagraphFont"/>
    <w:link w:val="Heading9"/>
    <w:uiPriority w:val="9"/>
    <w:rsid w:val="0054472B"/>
    <w:rPr>
      <w:rFonts w:ascii="Times New Roman" w:eastAsia="Times New Roman" w:hAnsi="Times New Roman" w:cs="Times New Roman"/>
      <w:b/>
      <w:snapToGrid w:val="0"/>
      <w:sz w:val="28"/>
      <w:szCs w:val="20"/>
    </w:rPr>
  </w:style>
  <w:style w:type="character" w:styleId="Hyperlink">
    <w:name w:val="Hyperlink"/>
    <w:basedOn w:val="DefaultParagraphFont"/>
    <w:uiPriority w:val="99"/>
    <w:unhideWhenUsed/>
    <w:rsid w:val="0054472B"/>
    <w:rPr>
      <w:color w:val="0000FF" w:themeColor="hyperlink"/>
      <w:u w:val="single"/>
    </w:rPr>
  </w:style>
  <w:style w:type="paragraph" w:customStyle="1" w:styleId="LISTBullet">
    <w:name w:val="LIST  Bullet"/>
    <w:basedOn w:val="Normal"/>
    <w:rsid w:val="009B3063"/>
    <w:pPr>
      <w:numPr>
        <w:numId w:val="9"/>
      </w:numPr>
      <w:ind w:left="360"/>
    </w:pPr>
    <w:rPr>
      <w:snapToGrid w:val="0"/>
      <w:sz w:val="22"/>
      <w:szCs w:val="20"/>
    </w:rPr>
  </w:style>
  <w:style w:type="paragraph" w:customStyle="1" w:styleId="LISTDashed">
    <w:name w:val="LIST  Dashed"/>
    <w:basedOn w:val="BlockText"/>
    <w:rsid w:val="009B3063"/>
    <w:pPr>
      <w:numPr>
        <w:numId w:val="8"/>
      </w:numPr>
      <w:spacing w:after="0"/>
      <w:ind w:left="1080"/>
    </w:pPr>
  </w:style>
  <w:style w:type="paragraph" w:customStyle="1" w:styleId="LISTBulletlastitem">
    <w:name w:val="LIST Bullet (last item)"/>
    <w:basedOn w:val="LISTBullet"/>
    <w:qFormat/>
    <w:rsid w:val="009B3063"/>
    <w:pPr>
      <w:numPr>
        <w:numId w:val="15"/>
      </w:numPr>
      <w:spacing w:after="240"/>
      <w:ind w:left="360"/>
    </w:pPr>
  </w:style>
  <w:style w:type="paragraph" w:customStyle="1" w:styleId="LISTBulleto">
    <w:name w:val="LIST Bullet o"/>
    <w:basedOn w:val="BlockText"/>
    <w:qFormat/>
    <w:rsid w:val="009B3063"/>
    <w:pPr>
      <w:numPr>
        <w:numId w:val="10"/>
      </w:numPr>
      <w:spacing w:after="0"/>
    </w:pPr>
  </w:style>
  <w:style w:type="paragraph" w:customStyle="1" w:styleId="ListofTabsFigs">
    <w:name w:val="List of Tabs_Figs"/>
    <w:basedOn w:val="Normal"/>
    <w:rsid w:val="0054472B"/>
    <w:pPr>
      <w:tabs>
        <w:tab w:val="center" w:pos="270"/>
        <w:tab w:val="left" w:pos="1080"/>
        <w:tab w:val="right" w:leader="dot" w:pos="9360"/>
      </w:tabs>
      <w:ind w:left="1080" w:right="540" w:hanging="1080"/>
    </w:pPr>
    <w:rPr>
      <w:noProof/>
      <w:snapToGrid w:val="0"/>
      <w:sz w:val="22"/>
      <w:szCs w:val="20"/>
    </w:rPr>
  </w:style>
  <w:style w:type="character" w:styleId="PageNumber">
    <w:name w:val="page number"/>
    <w:basedOn w:val="DefaultParagraphFont"/>
    <w:rsid w:val="0054472B"/>
    <w:rPr>
      <w:rFonts w:ascii="Times New Roman" w:hAnsi="Times New Roman"/>
      <w:sz w:val="22"/>
    </w:rPr>
  </w:style>
  <w:style w:type="paragraph" w:customStyle="1" w:styleId="referenceblock">
    <w:name w:val="reference (block)"/>
    <w:basedOn w:val="Normal"/>
    <w:qFormat/>
    <w:rsid w:val="0054472B"/>
    <w:pPr>
      <w:spacing w:after="120"/>
      <w:ind w:left="360" w:hanging="360"/>
    </w:pPr>
    <w:rPr>
      <w:snapToGrid w:val="0"/>
      <w:sz w:val="22"/>
      <w:szCs w:val="22"/>
    </w:rPr>
  </w:style>
  <w:style w:type="numbering" w:customStyle="1" w:styleId="Style1">
    <w:name w:val="Style1"/>
    <w:uiPriority w:val="99"/>
    <w:rsid w:val="0054472B"/>
    <w:pPr>
      <w:numPr>
        <w:numId w:val="11"/>
      </w:numPr>
    </w:pPr>
  </w:style>
  <w:style w:type="paragraph" w:customStyle="1" w:styleId="TableCaption">
    <w:name w:val="Table Caption"/>
    <w:basedOn w:val="Normal"/>
    <w:rsid w:val="0054472B"/>
    <w:pPr>
      <w:keepNext/>
      <w:keepLines/>
      <w:spacing w:after="120"/>
      <w:jc w:val="center"/>
    </w:pPr>
    <w:rPr>
      <w:rFonts w:ascii="Times New Roman Bold" w:hAnsi="Times New Roman Bold"/>
      <w:b/>
      <w:snapToGrid w:val="0"/>
      <w:sz w:val="20"/>
      <w:szCs w:val="20"/>
    </w:rPr>
  </w:style>
  <w:style w:type="paragraph" w:customStyle="1" w:styleId="TableCaptioncont">
    <w:name w:val="Table Caption (cont)"/>
    <w:basedOn w:val="TableCaption"/>
    <w:qFormat/>
    <w:rsid w:val="0054472B"/>
  </w:style>
  <w:style w:type="paragraph" w:customStyle="1" w:styleId="TableCaptionSeparator">
    <w:name w:val="Table Caption Separator"/>
    <w:basedOn w:val="TableCaption"/>
    <w:qFormat/>
    <w:rsid w:val="0054472B"/>
    <w:rPr>
      <w:rFonts w:ascii="Times New Roman" w:hAnsi="Times New Roman"/>
      <w:b w:val="0"/>
    </w:rPr>
  </w:style>
  <w:style w:type="table" w:styleId="TableGrid">
    <w:name w:val="Table Grid"/>
    <w:basedOn w:val="TableNormal"/>
    <w:uiPriority w:val="59"/>
    <w:rsid w:val="0054472B"/>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ListofTabsFigs"/>
    <w:next w:val="Normal"/>
    <w:uiPriority w:val="99"/>
    <w:unhideWhenUsed/>
    <w:rsid w:val="0054472B"/>
    <w:pPr>
      <w:tabs>
        <w:tab w:val="clear" w:pos="270"/>
        <w:tab w:val="clear" w:pos="1080"/>
      </w:tabs>
      <w:ind w:left="720" w:right="720" w:hanging="720"/>
    </w:pPr>
  </w:style>
  <w:style w:type="paragraph" w:customStyle="1" w:styleId="Titlepage-authornames">
    <w:name w:val="Title page-author names"/>
    <w:basedOn w:val="Normal"/>
    <w:qFormat/>
    <w:rsid w:val="0054472B"/>
    <w:pPr>
      <w:tabs>
        <w:tab w:val="center" w:pos="4680"/>
      </w:tabs>
      <w:jc w:val="center"/>
    </w:pPr>
    <w:rPr>
      <w:snapToGrid w:val="0"/>
      <w:sz w:val="22"/>
      <w:szCs w:val="20"/>
    </w:rPr>
  </w:style>
  <w:style w:type="paragraph" w:customStyle="1" w:styleId="Titlepage-date">
    <w:name w:val="Title page-date"/>
    <w:basedOn w:val="Normal"/>
    <w:qFormat/>
    <w:rsid w:val="0054472B"/>
    <w:pPr>
      <w:tabs>
        <w:tab w:val="center" w:pos="4680"/>
      </w:tabs>
      <w:jc w:val="center"/>
    </w:pPr>
    <w:rPr>
      <w:snapToGrid w:val="0"/>
      <w:sz w:val="22"/>
      <w:szCs w:val="20"/>
    </w:rPr>
  </w:style>
  <w:style w:type="paragraph" w:customStyle="1" w:styleId="Titlepage-Division">
    <w:name w:val="Title page-Division"/>
    <w:basedOn w:val="Titlepage-authornames"/>
    <w:qFormat/>
    <w:rsid w:val="0054472B"/>
  </w:style>
  <w:style w:type="paragraph" w:customStyle="1" w:styleId="Titlepage-reportnumber">
    <w:name w:val="Title page-report number"/>
    <w:basedOn w:val="Normal"/>
    <w:qFormat/>
    <w:rsid w:val="0054472B"/>
    <w:pPr>
      <w:widowControl w:val="0"/>
      <w:tabs>
        <w:tab w:val="right" w:pos="9000"/>
      </w:tabs>
      <w:jc w:val="right"/>
    </w:pPr>
    <w:rPr>
      <w:rFonts w:cs="Arial"/>
      <w:b/>
      <w:snapToGrid w:val="0"/>
      <w:szCs w:val="20"/>
    </w:rPr>
  </w:style>
  <w:style w:type="paragraph" w:customStyle="1" w:styleId="Titlepage-reporttitle">
    <w:name w:val="Title page-report title"/>
    <w:basedOn w:val="Normal"/>
    <w:qFormat/>
    <w:rsid w:val="009B3063"/>
    <w:pPr>
      <w:widowControl w:val="0"/>
      <w:jc w:val="center"/>
    </w:pPr>
    <w:rPr>
      <w:rFonts w:ascii="Times New Roman Bold" w:hAnsi="Times New Roman Bold"/>
      <w:b/>
      <w:caps/>
      <w:snapToGrid w:val="0"/>
      <w:szCs w:val="20"/>
    </w:rPr>
  </w:style>
  <w:style w:type="paragraph" w:styleId="TOC1">
    <w:name w:val="toc 1"/>
    <w:basedOn w:val="Normal"/>
    <w:next w:val="Normal"/>
    <w:autoRedefine/>
    <w:uiPriority w:val="39"/>
    <w:rsid w:val="0054472B"/>
    <w:pPr>
      <w:tabs>
        <w:tab w:val="left" w:pos="450"/>
        <w:tab w:val="right" w:leader="dot" w:pos="9360"/>
      </w:tabs>
      <w:ind w:left="450" w:right="540" w:hanging="450"/>
    </w:pPr>
    <w:rPr>
      <w:snapToGrid w:val="0"/>
      <w:sz w:val="22"/>
      <w:szCs w:val="20"/>
    </w:rPr>
  </w:style>
  <w:style w:type="paragraph" w:styleId="TOC2">
    <w:name w:val="toc 2"/>
    <w:basedOn w:val="Normal"/>
    <w:next w:val="Normal"/>
    <w:autoRedefine/>
    <w:uiPriority w:val="39"/>
    <w:rsid w:val="0054472B"/>
    <w:pPr>
      <w:tabs>
        <w:tab w:val="left" w:pos="990"/>
        <w:tab w:val="right" w:leader="dot" w:pos="9360"/>
      </w:tabs>
      <w:ind w:left="993" w:right="547" w:hanging="547"/>
    </w:pPr>
    <w:rPr>
      <w:snapToGrid w:val="0"/>
      <w:sz w:val="22"/>
      <w:szCs w:val="20"/>
    </w:rPr>
  </w:style>
  <w:style w:type="paragraph" w:styleId="TOC3">
    <w:name w:val="toc 3"/>
    <w:basedOn w:val="Normal"/>
    <w:next w:val="Normal"/>
    <w:autoRedefine/>
    <w:uiPriority w:val="39"/>
    <w:rsid w:val="0054472B"/>
    <w:pPr>
      <w:tabs>
        <w:tab w:val="left" w:pos="1710"/>
        <w:tab w:val="right" w:leader="dot" w:pos="9360"/>
      </w:tabs>
      <w:ind w:left="1714" w:right="547" w:hanging="720"/>
    </w:pPr>
    <w:rPr>
      <w:snapToGrid w:val="0"/>
      <w:sz w:val="22"/>
      <w:szCs w:val="20"/>
    </w:rPr>
  </w:style>
  <w:style w:type="paragraph" w:styleId="ListParagraph">
    <w:name w:val="List Paragraph"/>
    <w:basedOn w:val="Normal"/>
    <w:uiPriority w:val="34"/>
    <w:qFormat/>
    <w:rsid w:val="009235CF"/>
    <w:pPr>
      <w:numPr>
        <w:numId w:val="19"/>
      </w:numPr>
      <w:contextualSpacing/>
    </w:pPr>
    <w:rPr>
      <w:rFonts w:eastAsiaTheme="minorHAnsi"/>
      <w:kern w:val="2"/>
      <w:sz w:val="22"/>
      <w:szCs w:val="22"/>
      <w14:ligatures w14:val="standardContextual"/>
    </w:rPr>
  </w:style>
  <w:style w:type="paragraph" w:styleId="Caption">
    <w:name w:val="caption"/>
    <w:basedOn w:val="Normal"/>
    <w:next w:val="Normal"/>
    <w:uiPriority w:val="35"/>
    <w:unhideWhenUsed/>
    <w:qFormat/>
    <w:rsid w:val="00A40BC6"/>
    <w:pPr>
      <w:spacing w:after="200"/>
    </w:pPr>
    <w:rPr>
      <w:i/>
      <w:iCs/>
      <w:snapToGrid w:val="0"/>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91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osti.gov/" TargetMode="External"/><Relationship Id="rId18" Type="http://schemas.openxmlformats.org/officeDocument/2006/relationships/header" Target="header3.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classic.ntis.gov/" TargetMode="External"/><Relationship Id="rId17" Type="http://schemas.openxmlformats.org/officeDocument/2006/relationships/footer" Target="footer2.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s://www.osti.gov/" TargetMode="External"/><Relationship Id="rId20" Type="http://schemas.openxmlformats.org/officeDocument/2006/relationships/footer" Target="foot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sti.gov/" TargetMode="Externa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classic.ntis.gov/" TargetMode="External"/><Relationship Id="rId23" Type="http://schemas.openxmlformats.org/officeDocument/2006/relationships/header" Target="header4.xml"/><Relationship Id="rId28" Type="http://schemas.openxmlformats.org/officeDocument/2006/relationships/footer" Target="footer9.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osti.gov/" TargetMode="External"/><Relationship Id="rId22" Type="http://schemas.openxmlformats.org/officeDocument/2006/relationships/footer" Target="footer5.xml"/><Relationship Id="rId27" Type="http://schemas.openxmlformats.org/officeDocument/2006/relationships/footer" Target="footer8.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Library/Application%20Support/Microsoft/Office365/User%20Content.localized/Templates.localized/Report%20Templates/ORNL-Report-LTR-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7D4E4-D44F-1246-9E4B-D93C2C584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ORNL-Report-LTR-Template.dotx</Template>
  <TotalTime>63</TotalTime>
  <Pages>11</Pages>
  <Words>1462</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ORNL</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Wieselquist, William</cp:lastModifiedBy>
  <cp:revision>20</cp:revision>
  <dcterms:created xsi:type="dcterms:W3CDTF">2023-05-01T17:25:00Z</dcterms:created>
  <dcterms:modified xsi:type="dcterms:W3CDTF">2023-05-01T18:36:00Z</dcterms:modified>
</cp:coreProperties>
</file>