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numId w:val="0"/>
        </w:numPr>
        <w:spacing w:line="360" w:lineRule="auto"/>
        <w:ind w:leftChars="0"/>
        <w:outlineLvl w:val="0"/>
        <w:rPr>
          <w:rFonts w:hint="default"/>
          <w:color w:val="0000FF"/>
          <w:sz w:val="24"/>
          <w:szCs w:val="24"/>
          <w:lang w:val="en-US" w:eastAsia="zh-CN"/>
        </w:rPr>
      </w:pPr>
      <w:r>
        <w:rPr>
          <w:rFonts w:hint="eastAsia"/>
          <w:color w:val="0000FF"/>
          <w:sz w:val="24"/>
          <w:szCs w:val="24"/>
          <w:lang w:val="en-US" w:eastAsia="zh-CN"/>
        </w:rPr>
        <w:t>（蓝色为更新部分）</w:t>
      </w:r>
    </w:p>
    <w:p>
      <w:pPr>
        <w:numPr>
          <w:ilvl w:val="0"/>
          <w:numId w:val="1"/>
        </w:numPr>
        <w:spacing w:line="360" w:lineRule="auto"/>
        <w:ind w:left="425" w:leftChars="0" w:hanging="425" w:firstLineChars="0"/>
        <w:outlineLvl w:val="0"/>
        <w:rPr>
          <w:rFonts w:hint="eastAsia"/>
          <w:sz w:val="24"/>
          <w:szCs w:val="24"/>
          <w:lang w:val="en-US" w:eastAsia="zh-CN"/>
        </w:rPr>
      </w:pPr>
      <w:r>
        <w:rPr>
          <w:rFonts w:hint="eastAsia"/>
          <w:sz w:val="24"/>
          <w:szCs w:val="24"/>
          <w:lang w:val="en-US" w:eastAsia="zh-CN"/>
        </w:rPr>
        <w:t>软件名称：</w:t>
      </w:r>
    </w:p>
    <w:p>
      <w:pPr>
        <w:spacing w:line="360" w:lineRule="auto"/>
        <w:rPr>
          <w:rFonts w:hint="eastAsia"/>
          <w:sz w:val="24"/>
          <w:szCs w:val="24"/>
        </w:rPr>
      </w:pPr>
      <w:r>
        <w:rPr>
          <w:rFonts w:hint="eastAsia"/>
          <w:sz w:val="24"/>
          <w:szCs w:val="24"/>
        </w:rPr>
        <w:t>输配协同下面向薄弱点关联潮流精准调控的多元用户联动决策支持系统</w:t>
      </w:r>
    </w:p>
    <w:p>
      <w:pPr>
        <w:spacing w:line="360" w:lineRule="auto"/>
        <w:rPr>
          <w:rFonts w:hint="eastAsia"/>
          <w:sz w:val="24"/>
          <w:szCs w:val="24"/>
        </w:rPr>
      </w:pPr>
    </w:p>
    <w:p>
      <w:pPr>
        <w:numPr>
          <w:ilvl w:val="0"/>
          <w:numId w:val="1"/>
        </w:numPr>
        <w:spacing w:line="360" w:lineRule="auto"/>
        <w:ind w:left="425" w:leftChars="0" w:hanging="425" w:firstLineChars="0"/>
        <w:outlineLvl w:val="0"/>
        <w:rPr>
          <w:rFonts w:hint="eastAsia"/>
          <w:sz w:val="24"/>
          <w:szCs w:val="24"/>
          <w:lang w:val="en-US" w:eastAsia="zh-CN"/>
        </w:rPr>
      </w:pPr>
      <w:r>
        <w:rPr>
          <w:rFonts w:hint="eastAsia"/>
          <w:sz w:val="24"/>
          <w:szCs w:val="24"/>
          <w:lang w:val="en-US" w:eastAsia="zh-CN"/>
        </w:rPr>
        <w:t>功能概述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软件基于</w:t>
      </w:r>
      <w:r>
        <w:rPr>
          <w:rFonts w:hint="eastAsia"/>
          <w:sz w:val="24"/>
          <w:szCs w:val="24"/>
          <w:lang w:eastAsia="zh-CN"/>
        </w:rPr>
        <w:t>灵敏度因子</w:t>
      </w:r>
      <w:r>
        <w:rPr>
          <w:rFonts w:hint="eastAsia"/>
          <w:sz w:val="24"/>
          <w:szCs w:val="24"/>
          <w:lang w:val="en-US" w:eastAsia="zh-CN"/>
        </w:rPr>
        <w:t>实现</w:t>
      </w:r>
      <w:r>
        <w:rPr>
          <w:rFonts w:hint="eastAsia"/>
          <w:sz w:val="24"/>
          <w:szCs w:val="24"/>
          <w:lang w:eastAsia="zh-CN"/>
        </w:rPr>
        <w:t>薄弱点关联潮流的辨识，综合考虑多元负荷用户</w:t>
      </w:r>
      <w:r>
        <w:rPr>
          <w:rFonts w:hint="eastAsia"/>
          <w:sz w:val="24"/>
          <w:szCs w:val="24"/>
          <w:lang w:val="en-US" w:eastAsia="zh-CN"/>
        </w:rPr>
        <w:t>运行和交易结果，耦合系统网架拓扑和潮流约束，制定负荷多元联动的综合调控方案、能够通过合理的价格信号灵活反映并调整负荷用户需求和系统运行情况，并进而基于多种调控措施，在有效提升新能源消纳水平的同时兼顾电网运行安全裕度。包含以下两个模块</w:t>
      </w:r>
    </w:p>
    <w:p>
      <w:pPr>
        <w:spacing w:line="360" w:lineRule="auto"/>
        <w:rPr>
          <w:rFonts w:hint="eastAsia"/>
          <w:sz w:val="24"/>
          <w:szCs w:val="24"/>
          <w:lang w:eastAsia="zh-CN"/>
        </w:rPr>
      </w:pPr>
      <w:r>
        <w:rPr>
          <w:rFonts w:hint="eastAsia"/>
          <w:sz w:val="24"/>
          <w:szCs w:val="24"/>
          <w:lang w:eastAsia="zh-CN"/>
        </w:rPr>
        <w:t>（1）输配协同下运行薄弱点关联潮流快速辨识与响应：进行给定电网case、给定运行参数下（负荷水平、新能源出力水平）的运行模拟，评估结果为线路传输容量情况、</w:t>
      </w:r>
      <w:r>
        <w:rPr>
          <w:rFonts w:hint="eastAsia"/>
          <w:sz w:val="24"/>
          <w:szCs w:val="24"/>
          <w:lang w:val="en-US" w:eastAsia="zh-CN"/>
        </w:rPr>
        <w:t>薄弱</w:t>
      </w:r>
      <w:r>
        <w:rPr>
          <w:rFonts w:hint="eastAsia"/>
          <w:sz w:val="24"/>
          <w:szCs w:val="24"/>
          <w:lang w:eastAsia="zh-CN"/>
        </w:rPr>
        <w:t>节点辨识结果</w:t>
      </w:r>
      <w:r>
        <w:rPr>
          <w:rFonts w:hint="eastAsia"/>
          <w:sz w:val="24"/>
          <w:szCs w:val="24"/>
          <w:lang w:val="en-US" w:eastAsia="zh-CN"/>
        </w:rPr>
        <w:t>等</w:t>
      </w:r>
      <w:r>
        <w:rPr>
          <w:rFonts w:hint="eastAsia"/>
          <w:sz w:val="24"/>
          <w:szCs w:val="24"/>
          <w:lang w:eastAsia="zh-CN"/>
        </w:rPr>
        <w:t>。</w:t>
      </w:r>
    </w:p>
    <w:p>
      <w:pPr>
        <w:spacing w:line="360" w:lineRule="auto"/>
        <w:rPr>
          <w:rFonts w:hint="eastAsia"/>
          <w:sz w:val="24"/>
          <w:szCs w:val="24"/>
          <w:lang w:eastAsia="zh-CN"/>
        </w:rPr>
      </w:pPr>
      <w:r>
        <w:rPr>
          <w:rFonts w:hint="eastAsia"/>
          <w:sz w:val="24"/>
          <w:szCs w:val="24"/>
          <w:lang w:eastAsia="zh-CN"/>
        </w:rPr>
        <w:t>（</w:t>
      </w:r>
      <w:r>
        <w:rPr>
          <w:rFonts w:hint="eastAsia"/>
          <w:sz w:val="24"/>
          <w:szCs w:val="24"/>
          <w:lang w:val="en-US" w:eastAsia="zh-CN"/>
        </w:rPr>
        <w:t>2</w:t>
      </w:r>
      <w:r>
        <w:rPr>
          <w:rFonts w:hint="eastAsia"/>
          <w:sz w:val="24"/>
          <w:szCs w:val="24"/>
          <w:lang w:eastAsia="zh-CN"/>
        </w:rPr>
        <w:t>）薄弱点关联潮流精准调控的负荷多元联动</w:t>
      </w:r>
      <w:r>
        <w:rPr>
          <w:rFonts w:hint="eastAsia"/>
          <w:sz w:val="24"/>
          <w:szCs w:val="24"/>
          <w:lang w:val="en-US" w:eastAsia="zh-CN"/>
        </w:rPr>
        <w:t>技术</w:t>
      </w:r>
      <w:r>
        <w:rPr>
          <w:rFonts w:hint="eastAsia"/>
          <w:sz w:val="24"/>
          <w:szCs w:val="24"/>
          <w:lang w:eastAsia="zh-CN"/>
        </w:rPr>
        <w:t>：进行给定电网case、给定运行参数下（负荷水平、新能源出力水平）的负荷</w:t>
      </w:r>
      <w:r>
        <w:rPr>
          <w:rFonts w:hint="eastAsia"/>
          <w:sz w:val="24"/>
          <w:szCs w:val="24"/>
          <w:lang w:val="en-US" w:eastAsia="zh-CN"/>
        </w:rPr>
        <w:t>调控</w:t>
      </w:r>
      <w:r>
        <w:rPr>
          <w:rFonts w:hint="eastAsia"/>
          <w:sz w:val="24"/>
          <w:szCs w:val="24"/>
          <w:lang w:eastAsia="zh-CN"/>
        </w:rPr>
        <w:t>，评估结果为节点的负荷调控成本</w:t>
      </w:r>
      <w:r>
        <w:rPr>
          <w:rFonts w:hint="eastAsia"/>
          <w:sz w:val="24"/>
          <w:szCs w:val="24"/>
          <w:lang w:val="en-US" w:eastAsia="zh-CN"/>
        </w:rPr>
        <w:t>和系统节点边际电价等</w:t>
      </w:r>
      <w:r>
        <w:rPr>
          <w:rFonts w:hint="eastAsia"/>
          <w:sz w:val="24"/>
          <w:szCs w:val="24"/>
          <w:lang w:eastAsia="zh-CN"/>
        </w:rPr>
        <w:t>。</w:t>
      </w:r>
    </w:p>
    <w:p>
      <w:pPr>
        <w:numPr>
          <w:ilvl w:val="0"/>
          <w:numId w:val="1"/>
        </w:numPr>
        <w:spacing w:line="360" w:lineRule="auto"/>
        <w:ind w:left="425" w:leftChars="0" w:hanging="425" w:firstLineChars="0"/>
        <w:outlineLvl w:val="0"/>
        <w:rPr>
          <w:rFonts w:hint="eastAsia"/>
          <w:sz w:val="24"/>
          <w:szCs w:val="24"/>
          <w:lang w:val="en-US" w:eastAsia="zh-CN"/>
        </w:rPr>
      </w:pPr>
      <w:r>
        <w:rPr>
          <w:rFonts w:hint="eastAsia"/>
          <w:color w:val="0000FF"/>
          <w:sz w:val="24"/>
          <w:szCs w:val="24"/>
          <w:lang w:val="en-US" w:eastAsia="zh-CN"/>
        </w:rPr>
        <w:t>软件需求</w:t>
      </w:r>
      <w:r>
        <w:rPr>
          <w:rFonts w:hint="eastAsia"/>
          <w:sz w:val="24"/>
          <w:szCs w:val="24"/>
          <w:lang w:val="en-US" w:eastAsia="zh-CN"/>
        </w:rPr>
        <w:t>：</w:t>
      </w:r>
    </w:p>
    <w:p>
      <w:pPr>
        <w:numPr>
          <w:ilvl w:val="0"/>
          <w:numId w:val="2"/>
        </w:numPr>
        <w:spacing w:line="360" w:lineRule="auto"/>
        <w:outlineLvl w:val="1"/>
        <w:rPr>
          <w:rFonts w:hint="default"/>
          <w:color w:val="0000FF"/>
          <w:sz w:val="24"/>
          <w:szCs w:val="24"/>
          <w:lang w:val="en-US" w:eastAsia="zh-CN"/>
        </w:rPr>
      </w:pPr>
      <w:r>
        <w:rPr>
          <w:rFonts w:hint="eastAsia"/>
          <w:color w:val="0000FF"/>
          <w:sz w:val="24"/>
          <w:szCs w:val="24"/>
          <w:lang w:val="en-US" w:eastAsia="zh-CN"/>
        </w:rPr>
        <w:t>两个模块可通过Python画图或者调用其他开源可视化插件的方式，将结果进行输出，输出的图片风格可参考浙大软件结果，柱状图最好能可视化展示为立体柱状；</w:t>
      </w:r>
    </w:p>
    <w:p>
      <w:pPr>
        <w:numPr>
          <w:ilvl w:val="0"/>
          <w:numId w:val="0"/>
        </w:numPr>
        <w:spacing w:line="360" w:lineRule="auto"/>
        <w:outlineLvl w:val="1"/>
        <w:rPr>
          <w:rFonts w:hint="default"/>
          <w:color w:val="0000FF"/>
          <w:sz w:val="24"/>
          <w:szCs w:val="24"/>
          <w:lang w:val="en-US" w:eastAsia="zh-CN"/>
        </w:rPr>
      </w:pPr>
      <w:r>
        <w:rPr>
          <w:rFonts w:hint="eastAsia"/>
          <w:color w:val="0000FF"/>
          <w:sz w:val="24"/>
          <w:szCs w:val="24"/>
          <w:lang w:val="en-US" w:eastAsia="zh-CN"/>
        </w:rPr>
        <w:t>（软件输出结果数据的内容和现行版本相同，结果图片的横纵轴坐标、标题可以按照现行版本，数据的格式上如果需要读取matlab计算程序的运行结果数据我们可以更新matlab计算程序，提供为txt或excel格式）</w:t>
      </w:r>
    </w:p>
    <w:p>
      <w:pPr>
        <w:numPr>
          <w:ilvl w:val="0"/>
          <w:numId w:val="2"/>
        </w:numPr>
        <w:spacing w:line="360" w:lineRule="auto"/>
        <w:outlineLvl w:val="1"/>
        <w:rPr>
          <w:rFonts w:hint="default"/>
          <w:color w:val="0000FF"/>
          <w:sz w:val="24"/>
          <w:szCs w:val="24"/>
          <w:lang w:val="en-US" w:eastAsia="zh-CN"/>
        </w:rPr>
      </w:pPr>
      <w:r>
        <w:rPr>
          <w:rFonts w:hint="eastAsia"/>
          <w:color w:val="0000FF"/>
          <w:sz w:val="24"/>
          <w:szCs w:val="24"/>
          <w:lang w:val="en-US" w:eastAsia="zh-CN"/>
        </w:rPr>
        <w:t>现行版本软件的输入数据已通过Matlab格式文件预先存在程序的文件夹内，需要预留未来导入txt或者Matlab文件格式存入程序文件夹的接口；</w:t>
      </w:r>
    </w:p>
    <w:p>
      <w:pPr>
        <w:numPr>
          <w:ilvl w:val="0"/>
          <w:numId w:val="2"/>
        </w:numPr>
        <w:spacing w:line="360" w:lineRule="auto"/>
        <w:outlineLvl w:val="1"/>
        <w:rPr>
          <w:rFonts w:hint="default"/>
          <w:color w:val="0000FF"/>
          <w:sz w:val="24"/>
          <w:szCs w:val="24"/>
          <w:lang w:val="en-US" w:eastAsia="zh-CN"/>
        </w:rPr>
      </w:pPr>
      <w:r>
        <w:rPr>
          <w:rFonts w:hint="eastAsia"/>
          <w:color w:val="0000FF"/>
          <w:sz w:val="24"/>
          <w:szCs w:val="24"/>
          <w:lang w:val="en-US" w:eastAsia="zh-CN"/>
        </w:rPr>
        <w:t>软件需要进行封装，可通过例如链接、按钮等（最终集成在南瑞平台，从南瑞平台跳转）方式跳转打开运行界面。</w:t>
      </w:r>
    </w:p>
    <w:p>
      <w:pPr>
        <w:numPr>
          <w:ilvl w:val="0"/>
          <w:numId w:val="2"/>
        </w:numPr>
        <w:spacing w:line="360" w:lineRule="auto"/>
        <w:outlineLvl w:val="1"/>
        <w:rPr>
          <w:rFonts w:hint="eastAsia"/>
          <w:color w:val="0000FF"/>
          <w:sz w:val="24"/>
          <w:szCs w:val="24"/>
          <w:lang w:val="en-US" w:eastAsia="zh-CN"/>
        </w:rPr>
      </w:pPr>
      <w:r>
        <w:rPr>
          <w:rFonts w:hint="eastAsia"/>
          <w:color w:val="0000FF"/>
          <w:sz w:val="24"/>
          <w:szCs w:val="24"/>
          <w:lang w:val="en-US" w:eastAsia="zh-CN"/>
        </w:rPr>
        <w:t>软件颜色改为深色，配色风格和浙大系统软件统一（如图）</w:t>
      </w:r>
    </w:p>
    <w:p>
      <w:pPr>
        <w:spacing w:line="360" w:lineRule="auto"/>
        <w:jc w:val="center"/>
        <w:rPr>
          <w:rFonts w:hint="default"/>
          <w:color w:val="0000FF"/>
          <w:sz w:val="24"/>
          <w:szCs w:val="24"/>
          <w:lang w:val="en-US" w:eastAsia="zh-CN"/>
        </w:rPr>
      </w:pPr>
      <w:r>
        <w:rPr>
          <w:rFonts w:hint="default"/>
          <w:color w:val="0000FF"/>
          <w:sz w:val="24"/>
          <w:szCs w:val="24"/>
          <w:lang w:val="en-US" w:eastAsia="zh-CN"/>
        </w:rPr>
        <w:drawing>
          <wp:inline distT="0" distB="0" distL="114300" distR="114300">
            <wp:extent cx="4858385" cy="2230120"/>
            <wp:effectExtent l="0" t="0" r="0" b="0"/>
            <wp:docPr id="5" name="图片 5" descr="90a282da28d0912ad7eef5850c914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0a282da28d0912ad7eef5850c914dd"/>
                    <pic:cNvPicPr>
                      <a:picLocks noChangeAspect="1"/>
                    </pic:cNvPicPr>
                  </pic:nvPicPr>
                  <pic:blipFill>
                    <a:blip r:embed="rId4"/>
                    <a:srcRect t="23575" b="17578"/>
                    <a:stretch>
                      <a:fillRect/>
                    </a:stretch>
                  </pic:blipFill>
                  <pic:spPr>
                    <a:xfrm>
                      <a:off x="0" y="0"/>
                      <a:ext cx="4858385" cy="2230120"/>
                    </a:xfrm>
                    <a:prstGeom prst="rect">
                      <a:avLst/>
                    </a:prstGeom>
                  </pic:spPr>
                </pic:pic>
              </a:graphicData>
            </a:graphic>
          </wp:inline>
        </w:drawing>
      </w:r>
      <w:bookmarkStart w:id="0" w:name="_GoBack"/>
      <w:bookmarkEnd w:id="0"/>
    </w:p>
    <w:p>
      <w:pPr>
        <w:spacing w:line="360" w:lineRule="auto"/>
        <w:jc w:val="center"/>
        <w:rPr>
          <w:rFonts w:ascii="Times New Roman" w:hAnsi="Times New Roman" w:eastAsia="宋体" w:cs="Times New Roman"/>
          <w:sz w:val="28"/>
          <w:szCs w:val="28"/>
        </w:rPr>
      </w:pPr>
      <w:r>
        <w:rPr>
          <w:rFonts w:ascii="Times New Roman" w:hAnsi="Times New Roman" w:eastAsia="宋体" w:cs="Times New Roman"/>
          <w:sz w:val="28"/>
          <w:szCs w:val="28"/>
        </w:rPr>
        <w:drawing>
          <wp:inline distT="0" distB="0" distL="0" distR="0">
            <wp:extent cx="3765550" cy="2029460"/>
            <wp:effectExtent l="0" t="0" r="13970" b="12700"/>
            <wp:docPr id="25482300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23007" name="图片 1" descr="图形用户界面&#10;&#10;描述已自动生成"/>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765550" cy="2029460"/>
                    </a:xfrm>
                    <a:prstGeom prst="rect">
                      <a:avLst/>
                    </a:prstGeom>
                    <a:noFill/>
                    <a:ln>
                      <a:noFill/>
                    </a:ln>
                  </pic:spPr>
                </pic:pic>
              </a:graphicData>
            </a:graphic>
          </wp:inline>
        </w:drawing>
      </w:r>
    </w:p>
    <w:p>
      <w:pPr>
        <w:spacing w:line="360" w:lineRule="auto"/>
        <w:jc w:val="center"/>
        <w:rPr>
          <w:rFonts w:ascii="Times New Roman" w:hAnsi="Times New Roman" w:eastAsia="宋体" w:cs="Times New Roman"/>
          <w:sz w:val="28"/>
          <w:szCs w:val="28"/>
        </w:rPr>
      </w:pPr>
      <w:r>
        <w:rPr>
          <w:rFonts w:ascii="Times New Roman" w:hAnsi="Times New Roman" w:eastAsia="宋体" w:cs="Times New Roman"/>
          <w:sz w:val="28"/>
          <w:szCs w:val="28"/>
        </w:rPr>
        <w:drawing>
          <wp:inline distT="0" distB="0" distL="0" distR="0">
            <wp:extent cx="3734435" cy="2015490"/>
            <wp:effectExtent l="0" t="0" r="14605" b="11430"/>
            <wp:docPr id="1623974634" name="图片 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74634" name="图片 2" descr="图形用户界面&#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734435" cy="2015490"/>
                    </a:xfrm>
                    <a:prstGeom prst="rect">
                      <a:avLst/>
                    </a:prstGeom>
                    <a:noFill/>
                    <a:ln>
                      <a:noFill/>
                    </a:ln>
                  </pic:spPr>
                </pic:pic>
              </a:graphicData>
            </a:graphic>
          </wp:inline>
        </w:drawing>
      </w:r>
    </w:p>
    <w:p>
      <w:pPr>
        <w:spacing w:line="360" w:lineRule="auto"/>
        <w:jc w:val="center"/>
        <w:rPr>
          <w:rFonts w:ascii="Times New Roman" w:hAnsi="Times New Roman" w:eastAsia="宋体" w:cs="Times New Roman"/>
        </w:rPr>
      </w:pPr>
      <w:r>
        <w:rPr>
          <w:rFonts w:ascii="Times New Roman" w:hAnsi="Times New Roman" w:eastAsia="宋体" w:cs="Times New Roman"/>
        </w:rPr>
        <w:drawing>
          <wp:inline distT="0" distB="0" distL="0" distR="0">
            <wp:extent cx="3787775" cy="2016125"/>
            <wp:effectExtent l="0" t="0" r="6985" b="10795"/>
            <wp:docPr id="23276585" name="图片 4"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6585" name="图片 4" descr="图形用户界面&#10;&#10;中度可信度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787775" cy="2016125"/>
                    </a:xfrm>
                    <a:prstGeom prst="rect">
                      <a:avLst/>
                    </a:prstGeom>
                    <a:noFill/>
                    <a:ln>
                      <a:noFill/>
                    </a:ln>
                  </pic:spPr>
                </pic:pic>
              </a:graphicData>
            </a:graphic>
          </wp:inline>
        </w:drawing>
      </w:r>
    </w:p>
    <w:p>
      <w:pPr>
        <w:spacing w:line="360" w:lineRule="auto"/>
        <w:jc w:val="center"/>
        <w:rPr>
          <w:rFonts w:ascii="Times New Roman" w:hAnsi="Times New Roman" w:eastAsia="宋体" w:cs="Times New Roman"/>
        </w:rPr>
      </w:pPr>
      <w:r>
        <w:rPr>
          <w:rFonts w:ascii="Times New Roman" w:hAnsi="Times New Roman" w:eastAsia="宋体" w:cs="Times New Roman"/>
        </w:rPr>
        <w:drawing>
          <wp:inline distT="0" distB="0" distL="0" distR="0">
            <wp:extent cx="3613150" cy="1748155"/>
            <wp:effectExtent l="0" t="0" r="13970" b="4445"/>
            <wp:docPr id="69476981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69813" name="图片 3" descr="图形用户界面, 应用程序&#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613150" cy="1748155"/>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lang w:val="en-US" w:eastAsia="zh-CN"/>
        </w:rPr>
      </w:pPr>
    </w:p>
    <w:p>
      <w:pPr>
        <w:numPr>
          <w:numId w:val="0"/>
        </w:numPr>
        <w:spacing w:line="360" w:lineRule="auto"/>
        <w:outlineLvl w:val="1"/>
        <w:rPr>
          <w:rFonts w:hint="default"/>
          <w:color w:val="0000FF"/>
          <w:sz w:val="24"/>
          <w:szCs w:val="24"/>
          <w:lang w:val="en-US" w:eastAsia="zh-CN"/>
        </w:rPr>
      </w:pPr>
    </w:p>
    <w:p>
      <w:pPr>
        <w:numPr>
          <w:numId w:val="0"/>
        </w:numPr>
        <w:spacing w:line="360" w:lineRule="auto"/>
        <w:outlineLvl w:val="1"/>
        <w:rPr>
          <w:rFonts w:hint="default"/>
          <w:color w:val="0000FF"/>
          <w:sz w:val="24"/>
          <w:szCs w:val="24"/>
          <w:lang w:val="en-US" w:eastAsia="zh-CN"/>
        </w:rPr>
      </w:pPr>
    </w:p>
    <w:p>
      <w:pPr>
        <w:numPr>
          <w:numId w:val="0"/>
        </w:numPr>
        <w:spacing w:line="360" w:lineRule="auto"/>
        <w:outlineLvl w:val="1"/>
        <w:rPr>
          <w:rFonts w:hint="default"/>
          <w:color w:val="0000FF"/>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26E33F"/>
    <w:multiLevelType w:val="singleLevel"/>
    <w:tmpl w:val="9026E33F"/>
    <w:lvl w:ilvl="0" w:tentative="0">
      <w:start w:val="1"/>
      <w:numFmt w:val="decimal"/>
      <w:lvlText w:val="%1."/>
      <w:lvlJc w:val="left"/>
      <w:pPr>
        <w:ind w:left="425" w:hanging="425"/>
      </w:pPr>
      <w:rPr>
        <w:rFonts w:hint="default"/>
      </w:rPr>
    </w:lvl>
  </w:abstractNum>
  <w:abstractNum w:abstractNumId="1">
    <w:nsid w:val="72EF5A24"/>
    <w:multiLevelType w:val="singleLevel"/>
    <w:tmpl w:val="72EF5A24"/>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Q3MzdhZjI2MDRiOWMyMmQ5OGMwNjdiOGQ3ODhlZmIifQ=="/>
    <w:docVar w:name="KSO_WPS_MARK_KEY" w:val="b7acb71b-f279-45d4-a005-89347d4601ab"/>
  </w:docVars>
  <w:rsids>
    <w:rsidRoot w:val="33BC7687"/>
    <w:rsid w:val="01EF572E"/>
    <w:rsid w:val="027F2F56"/>
    <w:rsid w:val="06872E60"/>
    <w:rsid w:val="0B0D6DE1"/>
    <w:rsid w:val="256B6893"/>
    <w:rsid w:val="2BDE4899"/>
    <w:rsid w:val="2C185AA3"/>
    <w:rsid w:val="33BC7687"/>
    <w:rsid w:val="349A4825"/>
    <w:rsid w:val="4EF83441"/>
    <w:rsid w:val="51C92E73"/>
    <w:rsid w:val="5D143BF2"/>
    <w:rsid w:val="641F230D"/>
    <w:rsid w:val="7A8D7CE1"/>
    <w:rsid w:val="7C576F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semiHidden/>
    <w:unhideWhenUsed/>
    <w:qFormat/>
    <w:uiPriority w:val="0"/>
    <w:pPr>
      <w:keepNext/>
      <w:keepLines/>
      <w:spacing w:line="240" w:lineRule="auto"/>
      <w:ind w:left="0" w:firstLine="0" w:firstLineChars="0"/>
      <w:jc w:val="left"/>
      <w:outlineLvl w:val="3"/>
    </w:pPr>
    <w:rPr>
      <w:rFonts w:ascii="Times New Roman" w:hAnsi="Times New Roman" w:eastAsia="黑体"/>
      <w:bCs/>
      <w:sz w:val="28"/>
      <w:szCs w:val="28"/>
      <w:lang w:val="zh-CN"/>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660</Words>
  <Characters>699</Characters>
  <Lines>0</Lines>
  <Paragraphs>0</Paragraphs>
  <TotalTime>9</TotalTime>
  <ScaleCrop>false</ScaleCrop>
  <LinksUpToDate>false</LinksUpToDate>
  <CharactersWithSpaces>699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2024-04-13T13:18:00Z</dcterms:created>
  <dc:creator>molnet</dc:creator>
  <cp:lastModifiedBy>molnet</cp:lastModifiedBy>
  <dcterms:modified xsi:type="dcterms:W3CDTF">2024-07-02T03:10:18Z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6D982FE49B3F485183118EF43A17FB60_13</vt:lpwstr>
  </property>
</Properties>
</file>