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FFFFFF"/>
          <w:sz w:val="20"/>
          <w:szCs w:val="20"/>
          <w:highlight w:val="black"/>
        </w:rPr>
        <w:t>#</w:t>
      </w:r>
      <w:r>
        <w:rPr>
          <w:rFonts w:ascii="Liberation Mono" w:hAnsi="Liberation Mono"/>
          <w:sz w:val="20"/>
          <w:szCs w:val="20"/>
        </w:rPr>
        <w:t xml:space="preserve"> Standard </w:t>
      </w:r>
      <w:r>
        <w:rPr>
          <w:rFonts w:ascii="Liberation Mono" w:hAnsi="Liberation Mono"/>
          <w:sz w:val="20"/>
          <w:szCs w:val="20"/>
        </w:rPr>
        <w:t xml:space="preserve">size of most credit cards is 85.60 mm × 53.98 mm ( 3 </w:t>
      </w:r>
      <w:r>
        <w:rPr>
          <w:rFonts w:ascii="Liberation Mono" w:hAnsi="Liberation Mono"/>
          <w:position w:val="7"/>
          <w:sz w:val="16"/>
          <w:sz w:val="20"/>
          <w:szCs w:val="20"/>
        </w:rPr>
        <w:t>3</w:t>
      </w:r>
      <w:r>
        <w:rPr>
          <w:rFonts w:ascii="Liberation Mono" w:hAnsi="Liberation Mono"/>
          <w:sz w:val="20"/>
          <w:szCs w:val="20"/>
        </w:rPr>
        <w:t>⁄</w:t>
      </w:r>
      <w:r>
        <w:rPr>
          <w:rFonts w:ascii="Liberation Mono" w:hAnsi="Liberation Mono"/>
          <w:position w:val="-6"/>
          <w:sz w:val="16"/>
          <w:sz w:val="20"/>
          <w:szCs w:val="20"/>
        </w:rPr>
        <w:t xml:space="preserve">8 </w:t>
      </w:r>
      <w:r>
        <w:rPr>
          <w:rFonts w:ascii="Liberation Mono" w:hAnsi="Liberation Mono"/>
          <w:sz w:val="20"/>
          <w:szCs w:val="20"/>
        </w:rPr>
        <w:t xml:space="preserve">×  2 </w:t>
      </w:r>
      <w:r>
        <w:rPr>
          <w:rFonts w:ascii="Liberation Mono" w:hAnsi="Liberation Mono"/>
          <w:position w:val="7"/>
          <w:sz w:val="16"/>
          <w:sz w:val="20"/>
          <w:szCs w:val="20"/>
        </w:rPr>
        <w:t>1</w:t>
      </w:r>
      <w:r>
        <w:rPr>
          <w:rFonts w:ascii="Liberation Mono" w:hAnsi="Liberation Mono"/>
          <w:sz w:val="20"/>
          <w:szCs w:val="20"/>
        </w:rPr>
        <w:t>⁄</w:t>
      </w:r>
      <w:r>
        <w:rPr>
          <w:rFonts w:ascii="Liberation Mono" w:hAnsi="Liberation Mono"/>
          <w:position w:val="-6"/>
          <w:sz w:val="16"/>
          <w:sz w:val="20"/>
          <w:szCs w:val="20"/>
        </w:rPr>
        <w:t xml:space="preserve">8 </w:t>
      </w:r>
      <w:r>
        <w:rPr>
          <w:rFonts w:ascii="Liberation Mono" w:hAnsi="Liberation Mono"/>
          <w:sz w:val="20"/>
          <w:szCs w:val="20"/>
        </w:rPr>
        <w:t xml:space="preserve"> inches) </w:t>
      </w:r>
    </w:p>
    <w:p>
      <w:pPr>
        <w:pStyle w:val="TextBody"/>
        <w:rPr/>
      </w:pPr>
      <w:r>
        <w:rPr>
          <w:rFonts w:ascii="Liberation Mono" w:hAnsi="Liberation Mono"/>
          <w:color w:val="FFFFFF"/>
          <w:sz w:val="20"/>
          <w:szCs w:val="20"/>
          <w:highlight w:val="black"/>
        </w:rPr>
        <w:t>#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sz w:val="20"/>
          <w:szCs w:val="20"/>
        </w:rPr>
        <w:t xml:space="preserve">rounded corners with a radius of 2.88–3.48 mm conforming to the </w:t>
      </w:r>
      <w:r>
        <w:fldChar w:fldCharType="begin"/>
      </w:r>
      <w:r>
        <w:instrText> HYPERLINK "https://en.wikipedia.org/wiki/ISO/IEC_7810" \l "ID-1"</w:instrText>
      </w:r>
      <w:r>
        <w:fldChar w:fldCharType="separate"/>
      </w:r>
      <w:r>
        <w:rPr>
          <w:rStyle w:val="InternetLink"/>
          <w:rFonts w:ascii="Liberation Mono" w:hAnsi="Liberation Mono"/>
          <w:sz w:val="20"/>
          <w:szCs w:val="20"/>
        </w:rPr>
        <w:t>ISO/IEC 7810 ID-1</w:t>
      </w:r>
      <w:r>
        <w:fldChar w:fldCharType="end"/>
      </w:r>
      <w:r>
        <w:rPr>
          <w:rFonts w:ascii="Liberation Mono" w:hAnsi="Liberation Mono"/>
          <w:sz w:val="20"/>
          <w:szCs w:val="20"/>
        </w:rPr>
        <w:t xml:space="preserve"> standard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1196975</wp:posOffset>
            </wp:positionH>
            <wp:positionV relativeFrom="paragraph">
              <wp:posOffset>135890</wp:posOffset>
            </wp:positionV>
            <wp:extent cx="3317240" cy="217741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>
          <w:color w:val="FFFFFF"/>
          <w:highlight w:val="black"/>
        </w:rPr>
      </w:pPr>
      <w:r>
        <w:rPr/>
      </w:r>
    </w:p>
    <w:p>
      <w:pPr>
        <w:pStyle w:val="PreformattedText"/>
        <w:rPr/>
      </w:pPr>
      <w:r>
        <w:rPr>
          <w:color w:val="FFFFFF"/>
          <w:highlight w:val="black"/>
        </w:rPr>
        <w:t>#</w:t>
      </w:r>
      <w:r>
        <w:rPr/>
        <w:t xml:space="preserve"> </w:t>
      </w:r>
      <w:r>
        <w:rPr/>
        <w:t xml:space="preserve">The </w:t>
      </w:r>
      <w:hyperlink r:id="rId3">
        <w:r>
          <w:rPr>
            <w:rStyle w:val="InternetLink"/>
          </w:rPr>
          <w:t>Payment Card Industry Data Security Standard</w:t>
        </w:r>
      </w:hyperlink>
      <w:r>
        <w:rPr/>
        <w:t xml:space="preserve"> (PCI DSS) is the security standard issued by the </w:t>
      </w:r>
      <w:hyperlink r:id="rId4">
        <w:r>
          <w:rPr>
            <w:rStyle w:val="InternetLink"/>
          </w:rPr>
          <w:t>Payment Card Industry Security Standards Council</w:t>
        </w:r>
      </w:hyperlink>
      <w:r>
        <w:rPr/>
        <w:t xml:space="preserve"> (PCI SSC). This data security standard is used by acquiring banks to impose cardholder data security measures upon their merchants. 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tbl>
      <w:tblPr>
        <w:tblW w:w="946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2"/>
        <w:gridCol w:w="967"/>
        <w:gridCol w:w="7875"/>
      </w:tblGrid>
      <w:tr>
        <w:trPr/>
        <w:tc>
          <w:tcPr>
            <w:tcW w:w="6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67" w:type="dxa"/>
            <w:tcBorders/>
            <w:shd w:fill="C4BD97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7810 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bidi w:val="0"/>
              <w:ind w:left="0" w:right="283" w:hanging="0"/>
              <w:jc w:val="lef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Identification Cards - Physical Characteristics</w:t>
            </w:r>
          </w:p>
        </w:tc>
      </w:tr>
      <w:tr>
        <w:trPr/>
        <w:tc>
          <w:tcPr>
            <w:tcW w:w="6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67" w:type="dxa"/>
            <w:tcBorders/>
            <w:shd w:fill="C4BD97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7811-1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Embossing</w:t>
            </w:r>
          </w:p>
        </w:tc>
      </w:tr>
      <w:tr>
        <w:trPr/>
        <w:tc>
          <w:tcPr>
            <w:tcW w:w="6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67" w:type="dxa"/>
            <w:tcBorders/>
            <w:shd w:fill="C4BD97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7811-2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Magnetic stripe - low coercivity</w:t>
            </w:r>
          </w:p>
        </w:tc>
      </w:tr>
      <w:tr>
        <w:trPr/>
        <w:tc>
          <w:tcPr>
            <w:tcW w:w="6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67" w:type="dxa"/>
            <w:tcBorders/>
            <w:shd w:fill="C4BD97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7811-3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Location of embossed characters on ID-1 cards</w:t>
            </w:r>
          </w:p>
        </w:tc>
      </w:tr>
      <w:tr>
        <w:trPr/>
        <w:tc>
          <w:tcPr>
            <w:tcW w:w="6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67" w:type="dxa"/>
            <w:tcBorders/>
            <w:shd w:fill="C4BD97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7811-6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Magnetic stripe - high coercivity</w:t>
            </w:r>
          </w:p>
        </w:tc>
      </w:tr>
      <w:tr>
        <w:trPr/>
        <w:tc>
          <w:tcPr>
            <w:tcW w:w="6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67" w:type="dxa"/>
            <w:tcBorders/>
            <w:shd w:fill="C4BD97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7813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Financial transaction cards</w:t>
            </w:r>
          </w:p>
        </w:tc>
      </w:tr>
    </w:tbl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  <w:lang w:val="en-US"/>
        </w:rPr>
      </w:pPr>
      <w:bookmarkStart w:id="0" w:name="firstHeading"/>
      <w:bookmarkEnd w:id="0"/>
      <w:r>
        <w:rPr>
          <w:b/>
          <w:bCs/>
          <w:lang w:val="en-US"/>
        </w:rPr>
        <w:t>ISO/IEC 7813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ListHeading"/>
        <w:numPr>
          <w:ilvl w:val="0"/>
          <w:numId w:val="1"/>
        </w:numPr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Embossed characters </w:t>
      </w:r>
      <w:r>
        <w:rPr>
          <w:rFonts w:ascii="Liberation Mono" w:hAnsi="Liberation Mono"/>
          <w:sz w:val="20"/>
          <w:szCs w:val="20"/>
        </w:rPr>
        <w:t xml:space="preserve">by reference to </w:t>
      </w:r>
      <w:hyperlink r:id="rId5">
        <w:r>
          <w:rPr>
            <w:rStyle w:val="InternetLink"/>
            <w:rFonts w:ascii="Liberation Mono" w:hAnsi="Liberation Mono"/>
            <w:sz w:val="20"/>
            <w:szCs w:val="20"/>
          </w:rPr>
          <w:t>ISO/IEC 7811</w:t>
        </w:r>
      </w:hyperlink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Heading"/>
        <w:numPr>
          <w:ilvl w:val="0"/>
          <w:numId w:val="1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Embossing of expiration date the format (MM/YY or MM-YY) </w:t>
      </w:r>
    </w:p>
    <w:p>
      <w:pPr>
        <w:pStyle w:val="ListHeading"/>
        <w:numPr>
          <w:ilvl w:val="0"/>
          <w:numId w:val="1"/>
        </w:numPr>
        <w:rPr/>
      </w:pPr>
      <w:hyperlink r:id="rId6">
        <w:r>
          <w:rPr>
            <w:rStyle w:val="InternetLink"/>
            <w:rFonts w:ascii="Liberation Mono" w:hAnsi="Liberation Mono"/>
            <w:sz w:val="20"/>
            <w:szCs w:val="20"/>
          </w:rPr>
          <w:t>Magnetic stripe</w:t>
        </w:r>
      </w:hyperlink>
      <w:r>
        <w:rPr>
          <w:rFonts w:ascii="Liberation Mono" w:hAnsi="Liberation Mono"/>
          <w:sz w:val="20"/>
          <w:szCs w:val="20"/>
        </w:rPr>
        <w:t xml:space="preserve"> by reference to </w:t>
      </w:r>
      <w:hyperlink r:id="rId7">
        <w:r>
          <w:rPr>
            <w:rStyle w:val="InternetLink"/>
            <w:rFonts w:ascii="Liberation Mono" w:hAnsi="Liberation Mono"/>
            <w:sz w:val="20"/>
            <w:szCs w:val="20"/>
          </w:rPr>
          <w:t>ISO/IEC 7811</w:t>
        </w:r>
      </w:hyperlink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Heading"/>
        <w:numPr>
          <w:ilvl w:val="0"/>
          <w:numId w:val="1"/>
        </w:numPr>
        <w:rPr/>
      </w:pPr>
      <w:hyperlink r:id="rId8">
        <w:r>
          <w:rPr>
            <w:rStyle w:val="InternetLink"/>
            <w:rFonts w:ascii="Liberation Mono" w:hAnsi="Liberation Mono"/>
            <w:sz w:val="20"/>
            <w:szCs w:val="20"/>
          </w:rPr>
          <w:t>Integrated circuit</w:t>
        </w:r>
      </w:hyperlink>
      <w:r>
        <w:rPr>
          <w:rFonts w:ascii="Liberation Mono" w:hAnsi="Liberation Mono"/>
          <w:sz w:val="20"/>
          <w:szCs w:val="20"/>
        </w:rPr>
        <w:t xml:space="preserve"> with contacts by reference to </w:t>
      </w:r>
      <w:hyperlink r:id="rId9">
        <w:r>
          <w:rPr>
            <w:rStyle w:val="InternetLink"/>
            <w:rFonts w:ascii="Liberation Mono" w:hAnsi="Liberation Mono"/>
            <w:sz w:val="20"/>
            <w:szCs w:val="20"/>
          </w:rPr>
          <w:t>ISO/IEC 7816</w:t>
        </w:r>
      </w:hyperlink>
      <w:r>
        <w:rPr>
          <w:rFonts w:ascii="Liberation Mono" w:hAnsi="Liberation Mono"/>
          <w:sz w:val="20"/>
          <w:szCs w:val="20"/>
        </w:rPr>
        <w:t xml:space="preserve">-1 </w:t>
      </w:r>
    </w:p>
    <w:p>
      <w:pPr>
        <w:pStyle w:val="ListHeading"/>
        <w:numPr>
          <w:ilvl w:val="0"/>
          <w:numId w:val="1"/>
        </w:numPr>
        <w:rPr/>
      </w:pPr>
      <w:r>
        <w:rPr>
          <w:rFonts w:ascii="Liberation Mono" w:hAnsi="Liberation Mono"/>
          <w:sz w:val="20"/>
          <w:szCs w:val="20"/>
        </w:rPr>
        <w:t xml:space="preserve">Integrated circuit without contacts by reference to </w:t>
      </w:r>
      <w:hyperlink r:id="rId10">
        <w:r>
          <w:rPr>
            <w:rStyle w:val="InternetLink"/>
            <w:rFonts w:ascii="Liberation Mono" w:hAnsi="Liberation Mono"/>
            <w:sz w:val="20"/>
            <w:szCs w:val="20"/>
          </w:rPr>
          <w:t>ISO/IEC 10536</w:t>
        </w:r>
      </w:hyperlink>
      <w:r>
        <w:rPr>
          <w:rFonts w:ascii="Liberation Mono" w:hAnsi="Liberation Mono"/>
          <w:sz w:val="20"/>
          <w:szCs w:val="20"/>
        </w:rPr>
        <w:t xml:space="preserve">-1, </w:t>
      </w:r>
      <w:hyperlink r:id="rId11">
        <w:r>
          <w:rPr>
            <w:rStyle w:val="InternetLink"/>
            <w:rFonts w:ascii="Liberation Mono" w:hAnsi="Liberation Mono"/>
            <w:sz w:val="20"/>
            <w:szCs w:val="20"/>
          </w:rPr>
          <w:t>ISO/IEC 14443</w:t>
        </w:r>
      </w:hyperlink>
      <w:r>
        <w:rPr>
          <w:rFonts w:ascii="Liberation Mono" w:hAnsi="Liberation Mono"/>
          <w:sz w:val="20"/>
          <w:szCs w:val="20"/>
        </w:rPr>
        <w:t xml:space="preserve">-1, and </w:t>
      </w:r>
      <w:hyperlink r:id="rId12">
        <w:r>
          <w:rPr>
            <w:rStyle w:val="InternetLink"/>
            <w:rFonts w:ascii="Liberation Mono" w:hAnsi="Liberation Mono"/>
            <w:sz w:val="20"/>
            <w:szCs w:val="20"/>
          </w:rPr>
          <w:t>ISO/IEC 15693</w:t>
        </w:r>
      </w:hyperlink>
      <w:r>
        <w:rPr>
          <w:rFonts w:ascii="Liberation Mono" w:hAnsi="Liberation Mono"/>
          <w:sz w:val="20"/>
          <w:szCs w:val="20"/>
        </w:rPr>
        <w:t>-1</w:t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b w:val="false"/>
          <w:bCs w:val="false"/>
          <w:i/>
          <w:iCs/>
        </w:rPr>
      </w:r>
    </w:p>
    <w:p>
      <w:pPr>
        <w:pStyle w:val="Heading2"/>
        <w:rPr>
          <w:rFonts w:ascii="Liberation Mono" w:hAnsi="Liberation Mono"/>
          <w:sz w:val="20"/>
          <w:szCs w:val="20"/>
        </w:rPr>
      </w:pPr>
      <w:bookmarkStart w:id="1" w:name="Magnetic_tracks"/>
      <w:bookmarkEnd w:id="1"/>
      <w:r>
        <w:rPr>
          <w:rFonts w:ascii="Liberation Mono" w:hAnsi="Liberation Mono"/>
          <w:b w:val="false"/>
          <w:bCs w:val="false"/>
          <w:i/>
          <w:iCs/>
          <w:sz w:val="20"/>
          <w:szCs w:val="20"/>
        </w:rPr>
        <w:t xml:space="preserve">Magnetic tracks </w:t>
      </w:r>
      <w:r>
        <w:rPr>
          <w:rFonts w:ascii="Liberation Mono" w:hAnsi="Liberation Mono"/>
          <w:b w:val="false"/>
          <w:bCs w:val="false"/>
          <w:i/>
          <w:iCs/>
          <w:sz w:val="20"/>
          <w:szCs w:val="20"/>
        </w:rPr>
        <w:t xml:space="preserve">stanadard data stream </w:t>
      </w:r>
      <w:r>
        <w:rPr>
          <w:rFonts w:ascii="Liberation Mono" w:hAnsi="Liberation Mono"/>
          <w:b/>
          <w:bCs/>
          <w:sz w:val="20"/>
          <w:szCs w:val="20"/>
        </w:rPr>
        <w:t>-</w:t>
      </w:r>
    </w:p>
    <w:p>
      <w:pPr>
        <w:pStyle w:val="Heading2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-281305</wp:posOffset>
            </wp:positionH>
            <wp:positionV relativeFrom="paragraph">
              <wp:posOffset>215265</wp:posOffset>
            </wp:positionV>
            <wp:extent cx="6297930" cy="1238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rPr>
          <w:b/>
          <w:b/>
          <w:bCs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3"/>
        <w:rPr>
          <w:rFonts w:ascii="Liberation Mono" w:hAnsi="Liberation Mono"/>
          <w:b/>
          <w:b/>
          <w:bCs/>
          <w:sz w:val="20"/>
          <w:szCs w:val="20"/>
        </w:rPr>
      </w:pPr>
      <w:bookmarkStart w:id="2" w:name="Track_1"/>
      <w:bookmarkEnd w:id="2"/>
      <w:r>
        <w:rPr>
          <w:rFonts w:ascii="Liberation Mono" w:hAnsi="Liberation Mono"/>
          <w:b/>
          <w:bCs/>
          <w:sz w:val="20"/>
          <w:szCs w:val="20"/>
        </w:rPr>
        <w:t>Track 1</w:t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 xml:space="preserve">The Track 1 structure is specified as: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STX: Start sentinel "%"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FC: Format code "B" (The format described here. Format "A" is reserved for proprietary use.)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PAN: Primary Account Number, up to 19 digits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FS: Separator "^"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NM: Name, 2 to 26 characters (including separators, where appropriate, between surname, first name etc.)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FS: Separator "^"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ED: Expiration data, 4 digits or "^"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SC: Service code, 3 digits or "^"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DD: Discretionary data, balance of characters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ETX: End sentinel "?"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LRC: </w:t>
      </w:r>
      <w:hyperlink r:id="rId14">
        <w:r>
          <w:rPr>
            <w:rStyle w:val="InternetLink"/>
            <w:rFonts w:ascii="Liberation Mono" w:hAnsi="Liberation Mono"/>
            <w:sz w:val="20"/>
            <w:szCs w:val="20"/>
          </w:rPr>
          <w:t>Longitudinal redundancy check</w:t>
        </w:r>
      </w:hyperlink>
      <w:r>
        <w:rPr>
          <w:rFonts w:ascii="Liberation Mono" w:hAnsi="Liberation Mono"/>
          <w:sz w:val="20"/>
          <w:szCs w:val="20"/>
        </w:rPr>
        <w:t xml:space="preserve">, calculated according to </w:t>
      </w:r>
      <w:hyperlink r:id="rId15">
        <w:r>
          <w:rPr>
            <w:rStyle w:val="InternetLink"/>
            <w:rFonts w:ascii="Liberation Mono" w:hAnsi="Liberation Mono"/>
            <w:sz w:val="20"/>
            <w:szCs w:val="20"/>
          </w:rPr>
          <w:t>ISO/IEC 7811</w:t>
        </w:r>
      </w:hyperlink>
      <w:r>
        <w:rPr>
          <w:rFonts w:ascii="Liberation Mono" w:hAnsi="Liberation Mono"/>
          <w:sz w:val="20"/>
          <w:szCs w:val="20"/>
        </w:rPr>
        <w:t>-2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The maximum record length is 79 alphanumeric characters. 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-25400</wp:posOffset>
            </wp:positionH>
            <wp:positionV relativeFrom="paragraph">
              <wp:posOffset>-73660</wp:posOffset>
            </wp:positionV>
            <wp:extent cx="6297930" cy="2424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rFonts w:ascii="Liberation Mono" w:hAnsi="Liberation Mono"/>
          <w:sz w:val="20"/>
          <w:szCs w:val="20"/>
        </w:rPr>
      </w:pPr>
      <w:bookmarkStart w:id="3" w:name="Examples"/>
      <w:bookmarkEnd w:id="3"/>
      <w:r>
        <w:rPr>
          <w:rFonts w:ascii="Liberation Mono" w:hAnsi="Liberation Mono"/>
          <w:i/>
          <w:iCs/>
          <w:sz w:val="20"/>
          <w:szCs w:val="20"/>
        </w:rPr>
        <w:t>Examples</w:t>
      </w:r>
    </w:p>
    <w:p>
      <w:pPr>
        <w:pStyle w:val="TextBody"/>
        <w:rPr/>
      </w:pPr>
      <w:r>
        <w:rPr>
          <w:rStyle w:val="SourceText"/>
          <w:rFonts w:ascii="Liberation Mono" w:hAnsi="Liberation Mono"/>
          <w:sz w:val="20"/>
          <w:szCs w:val="20"/>
        </w:rPr>
        <w:t>%B4815881002861896^YATES/EUGENE JOHN         ^37829821000123456789?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TextBody"/>
        <w:rPr/>
      </w:pPr>
      <w:r>
        <w:rPr>
          <w:rStyle w:val="SourceText"/>
          <w:rFonts w:ascii="Liberation Mono" w:hAnsi="Liberation Mono"/>
          <w:sz w:val="20"/>
          <w:szCs w:val="20"/>
        </w:rPr>
        <w:t>%B4815881002861896^YATES/EUGENE L            ^^^0000000      00998000000?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Heading3"/>
        <w:rPr>
          <w:rFonts w:ascii="Liberation Mono" w:hAnsi="Liberation Mono"/>
          <w:b/>
          <w:b/>
          <w:bCs/>
          <w:sz w:val="20"/>
          <w:szCs w:val="20"/>
        </w:rPr>
      </w:pPr>
      <w:bookmarkStart w:id="4" w:name="Track_2"/>
      <w:bookmarkEnd w:id="4"/>
      <w:r>
        <w:rPr>
          <w:rFonts w:ascii="Liberation Mono" w:hAnsi="Liberation Mono"/>
          <w:b/>
          <w:bCs/>
          <w:sz w:val="20"/>
          <w:szCs w:val="20"/>
        </w:rPr>
        <w:t>Track 2</w:t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 xml:space="preserve">The Track 2 structure is specified as: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STX: Start sentinel ";"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PAN: Primary Account Number, up to 19 digits, as defined in </w:t>
      </w:r>
      <w:hyperlink r:id="rId17">
        <w:r>
          <w:rPr>
            <w:rStyle w:val="InternetLink"/>
            <w:rFonts w:ascii="Liberation Mono" w:hAnsi="Liberation Mono"/>
            <w:sz w:val="20"/>
            <w:szCs w:val="20"/>
          </w:rPr>
          <w:t>ISO/IEC 7812</w:t>
        </w:r>
      </w:hyperlink>
      <w:r>
        <w:rPr>
          <w:rFonts w:ascii="Liberation Mono" w:hAnsi="Liberation Mono"/>
          <w:sz w:val="20"/>
          <w:szCs w:val="20"/>
        </w:rPr>
        <w:t xml:space="preserve">-1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FS: Separator "="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ED: Expiration date, YYMM or "=" if not present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SC: Service code, 3 digits or "=" if not present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DD: Discretionary data, balance of available digits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ETX: End sentinel "?"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LRC: </w:t>
      </w:r>
      <w:hyperlink r:id="rId18">
        <w:r>
          <w:rPr>
            <w:rStyle w:val="InternetLink"/>
            <w:rFonts w:ascii="Liberation Mono" w:hAnsi="Liberation Mono"/>
            <w:sz w:val="20"/>
            <w:szCs w:val="20"/>
          </w:rPr>
          <w:t>Longitudinal redundancy check</w:t>
        </w:r>
      </w:hyperlink>
      <w:r>
        <w:rPr>
          <w:rFonts w:ascii="Liberation Mono" w:hAnsi="Liberation Mono"/>
          <w:sz w:val="20"/>
          <w:szCs w:val="20"/>
        </w:rPr>
        <w:t>, calculated according to ISO/IEC 7811-2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6350</wp:posOffset>
            </wp:positionH>
            <wp:positionV relativeFrom="paragraph">
              <wp:posOffset>160655</wp:posOffset>
            </wp:positionV>
            <wp:extent cx="6297930" cy="2298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>The maximum record length is 40 numeric digits (</w:t>
      </w:r>
      <w:r>
        <w:rPr>
          <w:rFonts w:ascii="Liberation Mono" w:hAnsi="Liberation Mono"/>
          <w:i/>
          <w:iCs/>
          <w:sz w:val="20"/>
          <w:szCs w:val="20"/>
        </w:rPr>
        <w:t>e.g.,</w:t>
      </w:r>
      <w:r>
        <w:rPr>
          <w:rFonts w:ascii="Liberation Mono" w:hAnsi="Liberation Mono"/>
          <w:sz w:val="20"/>
          <w:szCs w:val="20"/>
        </w:rPr>
        <w:t xml:space="preserve"> 5095700000000).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Heading3"/>
        <w:rPr/>
      </w:pPr>
      <w:bookmarkStart w:id="5" w:name="Track_3"/>
      <w:bookmarkEnd w:id="5"/>
      <w:r>
        <w:rPr>
          <w:rFonts w:ascii="Liberation Mono" w:hAnsi="Liberation Mono"/>
          <w:b/>
          <w:bCs/>
          <w:sz w:val="20"/>
          <w:szCs w:val="20"/>
        </w:rPr>
        <w:t xml:space="preserve">Track 3 </w:t>
      </w:r>
      <w:r>
        <w:rPr>
          <w:rFonts w:ascii="Liberation Mono" w:hAnsi="Liberation Mono"/>
          <w:b/>
          <w:bCs/>
          <w:sz w:val="20"/>
          <w:szCs w:val="20"/>
        </w:rPr>
        <w:t xml:space="preserve">( ISO </w:t>
      </w:r>
      <w:r>
        <w:rPr>
          <w:rFonts w:ascii="Liberation Mono" w:hAnsi="Liberation Mono"/>
          <w:b/>
          <w:bCs/>
          <w:sz w:val="20"/>
          <w:szCs w:val="20"/>
        </w:rPr>
        <w:t>4909</w:t>
      </w:r>
      <w:r>
        <w:rPr>
          <w:rFonts w:ascii="Liberation Mono" w:hAnsi="Liberation Mono"/>
          <w:b/>
          <w:bCs/>
          <w:sz w:val="20"/>
          <w:szCs w:val="20"/>
        </w:rPr>
        <w:t xml:space="preserve"> )</w:t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>Track 3 is virtually unused by the major worldwide networks and often isn't even physically present on the card by virtue of a narrower magnetic stripe.</w:t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>A notable exception to this is Germany, where Track 3 content was used nationally as the primary source of authorization and clearing information for debit card processing prior to the adoption of the "SECCOS" ICC standards. Track 3 is standardized nationally to contain both the cardholder's bank account number and branch sort code (BLZ).</w:t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-85725</wp:posOffset>
            </wp:positionV>
            <wp:extent cx="5831205" cy="33159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ListHeading"/>
        <w:rPr>
          <w:rFonts w:ascii="Liberation Mono" w:hAnsi="Liberation Mono"/>
          <w:b/>
          <w:b/>
          <w:bCs/>
          <w:i/>
          <w:i/>
          <w:iCs/>
          <w:sz w:val="20"/>
          <w:szCs w:val="20"/>
        </w:rPr>
      </w:pPr>
      <w:r>
        <w:rPr>
          <w:rFonts w:ascii="Liberation Mono" w:hAnsi="Liberation Mono"/>
          <w:b/>
          <w:bCs/>
          <w:i/>
          <w:iCs/>
          <w:sz w:val="20"/>
          <w:szCs w:val="20"/>
        </w:rPr>
      </w:r>
    </w:p>
    <w:p>
      <w:pPr>
        <w:pStyle w:val="TextBody"/>
        <w:rPr>
          <w:rFonts w:ascii="Liberation Mono" w:hAnsi="Liberation Mono"/>
          <w:b/>
          <w:b/>
          <w:bCs/>
          <w:i/>
          <w:i/>
          <w:iCs/>
          <w:sz w:val="20"/>
          <w:szCs w:val="20"/>
        </w:rPr>
      </w:pPr>
      <w:r>
        <w:rPr>
          <w:rFonts w:ascii="Liberation Mono" w:hAnsi="Liberation Mono"/>
          <w:b w:val="false"/>
          <w:bCs w:val="false"/>
          <w:i/>
          <w:iCs/>
          <w:sz w:val="20"/>
          <w:szCs w:val="20"/>
        </w:rPr>
        <w:t>Service code values common in financial cards:</w:t>
      </w:r>
      <w:r>
        <w:rPr>
          <w:rFonts w:ascii="Liberation Mono" w:hAnsi="Liberation Mono"/>
          <w:b/>
          <w:bCs/>
          <w:i/>
          <w:iCs/>
          <w:sz w:val="20"/>
          <w:szCs w:val="20"/>
        </w:rPr>
        <w:t xml:space="preserve"> 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First digit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1: International interchange OK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2: International interchange, use </w:t>
      </w:r>
      <w:hyperlink r:id="rId21">
        <w:r>
          <w:rPr>
            <w:rStyle w:val="InternetLink"/>
            <w:rFonts w:ascii="Liberation Mono" w:hAnsi="Liberation Mono"/>
            <w:sz w:val="20"/>
            <w:szCs w:val="20"/>
          </w:rPr>
          <w:t>IC (chip)</w:t>
        </w:r>
      </w:hyperlink>
      <w:r>
        <w:rPr>
          <w:rFonts w:ascii="Liberation Mono" w:hAnsi="Liberation Mono"/>
          <w:sz w:val="20"/>
          <w:szCs w:val="20"/>
        </w:rPr>
        <w:t xml:space="preserve"> where feasible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5: National interchange only except under bilateral agreement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6: National interchange only except under bilateral agreement, use IC (chip) where feasible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7: No interchange except under bilateral agreement (closed loop) </w:t>
      </w:r>
    </w:p>
    <w:p>
      <w:pPr>
        <w:pStyle w:val="ListContents"/>
        <w:spacing w:before="0" w:after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9: Test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Second digit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0: Normal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2: Contact issuer via online means </w:t>
      </w:r>
    </w:p>
    <w:p>
      <w:pPr>
        <w:pStyle w:val="ListContents"/>
        <w:spacing w:before="0" w:after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4: Contact issuer via online means except under bilateral agreement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>Third digit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0: No restrictions, PIN required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1: No restrictions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2: Goods and services only (no cash)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3: ATM only, PIN required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4: Cash only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5: Goods and services only (no cash), PIN required </w:t>
      </w:r>
    </w:p>
    <w:p>
      <w:pPr>
        <w:pStyle w:val="ListContent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6: No restrictions, use PIN where feasible </w:t>
      </w:r>
    </w:p>
    <w:p>
      <w:pPr>
        <w:pStyle w:val="ListContents"/>
        <w:spacing w:before="0" w:after="283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7: Goods and services only (no cash), use PIN where feasible</w:t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sectPr>
      <w:type w:val="nextPage"/>
      <w:pgSz w:w="11906" w:h="16838"/>
      <w:pgMar w:left="1134" w:right="85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ListHeading">
    <w:name w:val="List Heading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Payment_Card_Industry_Data_Security_Standard" TargetMode="External"/><Relationship Id="rId4" Type="http://schemas.openxmlformats.org/officeDocument/2006/relationships/hyperlink" Target="https://en.wikipedia.org/wiki/Payment_Card_Industry_Security_Standards_Council" TargetMode="External"/><Relationship Id="rId5" Type="http://schemas.openxmlformats.org/officeDocument/2006/relationships/hyperlink" Target="https://en.wikipedia.org/wiki/ISO/IEC_7811" TargetMode="External"/><Relationship Id="rId6" Type="http://schemas.openxmlformats.org/officeDocument/2006/relationships/hyperlink" Target="https://en.wikipedia.org/wiki/Magnetic_stripe" TargetMode="External"/><Relationship Id="rId7" Type="http://schemas.openxmlformats.org/officeDocument/2006/relationships/hyperlink" Target="https://en.wikipedia.org/wiki/ISO/IEC_7811" TargetMode="External"/><Relationship Id="rId8" Type="http://schemas.openxmlformats.org/officeDocument/2006/relationships/hyperlink" Target="https://en.wikipedia.org/wiki/Integrated_circuit" TargetMode="External"/><Relationship Id="rId9" Type="http://schemas.openxmlformats.org/officeDocument/2006/relationships/hyperlink" Target="https://en.wikipedia.org/wiki/ISO/IEC_7816" TargetMode="External"/><Relationship Id="rId10" Type="http://schemas.openxmlformats.org/officeDocument/2006/relationships/hyperlink" Target="https://en.wikipedia.org/w/index.php?title=ISO/IEC_10536&amp;action=edit&amp;redlink=1" TargetMode="External"/><Relationship Id="rId11" Type="http://schemas.openxmlformats.org/officeDocument/2006/relationships/hyperlink" Target="https://en.wikipedia.org/wiki/ISO/IEC_14443" TargetMode="External"/><Relationship Id="rId12" Type="http://schemas.openxmlformats.org/officeDocument/2006/relationships/hyperlink" Target="https://en.wikipedia.org/wiki/ISO/IEC_15693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en.wikipedia.org/wiki/Longitudinal_redundancy_check" TargetMode="External"/><Relationship Id="rId15" Type="http://schemas.openxmlformats.org/officeDocument/2006/relationships/hyperlink" Target="https://en.wikipedia.org/wiki/ISO/IEC_7811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en.wikipedia.org/wiki/ISO/IEC_7812" TargetMode="External"/><Relationship Id="rId18" Type="http://schemas.openxmlformats.org/officeDocument/2006/relationships/hyperlink" Target="https://en.wikipedia.org/wiki/Longitudinal_redundancy_check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yperlink" Target="https://en.wikipedia.org/wiki/EMV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4</Pages>
  <Words>591</Words>
  <Characters>3092</Characters>
  <CharactersWithSpaces>3651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2018-08-14T14:57:04Z</dcterms:modified>
  <cp:revision>9</cp:revision>
  <dc:subject/>
  <dc:title/>
</cp:coreProperties>
</file>