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Basic Working Principal 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Stores the data as magnetic patterns.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Basic Types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LoCo ( low-coercivity at 300 Oe )</w:t>
      </w:r>
    </w:p>
    <w:p>
      <w:pPr>
        <w:pStyle w:val="Normal"/>
        <w:rPr/>
      </w:pPr>
      <w:r>
        <w:rPr/>
        <w:t>2) HiCo ( high-coercivity at 4000 Oe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1196975</wp:posOffset>
            </wp:positionH>
            <wp:positionV relativeFrom="paragraph">
              <wp:posOffset>10795</wp:posOffset>
            </wp:positionV>
            <wp:extent cx="3317240" cy="217741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 xml:space="preserve">The </w:t>
      </w:r>
      <w:hyperlink r:id="rId3">
        <w:r>
          <w:rPr>
            <w:rStyle w:val="InternetLink"/>
          </w:rPr>
          <w:t>Payment Card Industry Data Security Standard</w:t>
        </w:r>
      </w:hyperlink>
      <w:r>
        <w:rPr/>
        <w:t xml:space="preserve"> (PCI DSS) is the security standard issued by the </w:t>
      </w:r>
      <w:hyperlink r:id="rId4">
        <w:r>
          <w:rPr>
            <w:rStyle w:val="InternetLink"/>
          </w:rPr>
          <w:t>Payment Card Industry Security Standards Council</w:t>
        </w:r>
      </w:hyperlink>
      <w:r>
        <w:rPr/>
        <w:t xml:space="preserve"> (PCI SSC). This data security standard is used by acquiring banks to impose cardholder data security measures upon their merchants.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Standards Used -</w:t>
      </w:r>
    </w:p>
    <w:p>
      <w:pPr>
        <w:pStyle w:val="Normal"/>
        <w:rPr/>
      </w:pPr>
      <w:r>
        <w:rPr/>
      </w:r>
    </w:p>
    <w:tbl>
      <w:tblPr>
        <w:tblW w:w="946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9"/>
        <w:gridCol w:w="970"/>
        <w:gridCol w:w="7875"/>
      </w:tblGrid>
      <w:tr>
        <w:trPr/>
        <w:tc>
          <w:tcPr>
            <w:tcW w:w="6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Liberation Mono" w:hAnsi="Liberation Mono"/>
                <w:sz w:val="20"/>
                <w:szCs w:val="20"/>
              </w:rPr>
              <w:t>ISO</w:t>
            </w:r>
          </w:p>
        </w:tc>
        <w:tc>
          <w:tcPr>
            <w:tcW w:w="970" w:type="dxa"/>
            <w:tcBorders/>
            <w:shd w:fill="C4BD97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 xml:space="preserve">7810 </w:t>
            </w:r>
          </w:p>
        </w:tc>
        <w:tc>
          <w:tcPr>
            <w:tcW w:w="7875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bidi w:val="0"/>
              <w:ind w:left="0" w:right="283" w:hanging="0"/>
              <w:jc w:val="left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Identification Cards - Physical Characteristics</w:t>
            </w:r>
          </w:p>
        </w:tc>
      </w:tr>
      <w:tr>
        <w:trPr/>
        <w:tc>
          <w:tcPr>
            <w:tcW w:w="6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Liberation Mono" w:hAnsi="Liberation Mono"/>
                <w:sz w:val="20"/>
                <w:szCs w:val="20"/>
              </w:rPr>
              <w:t>ISO</w:t>
            </w:r>
          </w:p>
        </w:tc>
        <w:tc>
          <w:tcPr>
            <w:tcW w:w="970" w:type="dxa"/>
            <w:tcBorders/>
            <w:shd w:fill="C4BD97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7811-1</w:t>
            </w:r>
          </w:p>
        </w:tc>
        <w:tc>
          <w:tcPr>
            <w:tcW w:w="787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Embossing</w:t>
            </w:r>
          </w:p>
        </w:tc>
      </w:tr>
      <w:tr>
        <w:trPr/>
        <w:tc>
          <w:tcPr>
            <w:tcW w:w="6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Liberation Mono" w:hAnsi="Liberation Mono"/>
                <w:sz w:val="20"/>
                <w:szCs w:val="20"/>
              </w:rPr>
              <w:t>ISO</w:t>
            </w:r>
          </w:p>
        </w:tc>
        <w:tc>
          <w:tcPr>
            <w:tcW w:w="970" w:type="dxa"/>
            <w:tcBorders/>
            <w:shd w:fill="C4BD97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7811-2</w:t>
            </w:r>
          </w:p>
        </w:tc>
        <w:tc>
          <w:tcPr>
            <w:tcW w:w="787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Magnetic stripe - low coercivity</w:t>
            </w:r>
          </w:p>
        </w:tc>
      </w:tr>
      <w:tr>
        <w:trPr/>
        <w:tc>
          <w:tcPr>
            <w:tcW w:w="6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Liberation Mono" w:hAnsi="Liberation Mono"/>
                <w:sz w:val="20"/>
                <w:szCs w:val="20"/>
              </w:rPr>
              <w:t>ISO</w:t>
            </w:r>
          </w:p>
        </w:tc>
        <w:tc>
          <w:tcPr>
            <w:tcW w:w="970" w:type="dxa"/>
            <w:tcBorders/>
            <w:shd w:fill="C4BD97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7811-3</w:t>
            </w:r>
          </w:p>
        </w:tc>
        <w:tc>
          <w:tcPr>
            <w:tcW w:w="787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Location of embossed characters on ID-1 cards</w:t>
            </w:r>
          </w:p>
        </w:tc>
      </w:tr>
      <w:tr>
        <w:trPr/>
        <w:tc>
          <w:tcPr>
            <w:tcW w:w="6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Liberation Mono" w:hAnsi="Liberation Mono"/>
                <w:sz w:val="20"/>
                <w:szCs w:val="20"/>
              </w:rPr>
              <w:t>ISO</w:t>
            </w:r>
          </w:p>
        </w:tc>
        <w:tc>
          <w:tcPr>
            <w:tcW w:w="970" w:type="dxa"/>
            <w:tcBorders/>
            <w:shd w:fill="C4BD97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7811-6</w:t>
            </w:r>
          </w:p>
        </w:tc>
        <w:tc>
          <w:tcPr>
            <w:tcW w:w="787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Magnetic stripe - high coercivity</w:t>
            </w:r>
          </w:p>
        </w:tc>
      </w:tr>
      <w:tr>
        <w:trPr/>
        <w:tc>
          <w:tcPr>
            <w:tcW w:w="6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Liberation Mono" w:hAnsi="Liberation Mono"/>
                <w:sz w:val="20"/>
                <w:szCs w:val="20"/>
              </w:rPr>
              <w:t>ISO</w:t>
            </w:r>
          </w:p>
        </w:tc>
        <w:tc>
          <w:tcPr>
            <w:tcW w:w="970" w:type="dxa"/>
            <w:tcBorders/>
            <w:shd w:fill="C4BD97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7813</w:t>
            </w:r>
          </w:p>
        </w:tc>
        <w:tc>
          <w:tcPr>
            <w:tcW w:w="787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Financial transaction cards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ISO/IEC 7813</w:t>
      </w:r>
    </w:p>
    <w:p>
      <w:pPr>
        <w:pStyle w:val="PreformattedTex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ListHeading"/>
        <w:numPr>
          <w:ilvl w:val="0"/>
          <w:numId w:val="1"/>
        </w:numPr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Embossed characters </w:t>
      </w:r>
      <w:r>
        <w:rPr>
          <w:rFonts w:ascii="Liberation Mono" w:hAnsi="Liberation Mono"/>
          <w:sz w:val="20"/>
          <w:szCs w:val="20"/>
        </w:rPr>
        <w:t xml:space="preserve">by reference to </w:t>
      </w:r>
      <w:hyperlink r:id="rId5">
        <w:r>
          <w:rPr>
            <w:rStyle w:val="InternetLink"/>
            <w:rFonts w:ascii="Liberation Mono" w:hAnsi="Liberation Mono"/>
            <w:sz w:val="20"/>
            <w:szCs w:val="20"/>
          </w:rPr>
          <w:t>ISO/IEC 7811</w:t>
        </w:r>
      </w:hyperlink>
      <w:r>
        <w:rPr>
          <w:rFonts w:ascii="Liberation Mono" w:hAnsi="Liberation Mono"/>
          <w:sz w:val="20"/>
          <w:szCs w:val="20"/>
        </w:rPr>
        <w:t xml:space="preserve"> </w:t>
      </w:r>
    </w:p>
    <w:p>
      <w:pPr>
        <w:pStyle w:val="ListHeading"/>
        <w:numPr>
          <w:ilvl w:val="0"/>
          <w:numId w:val="1"/>
        </w:numPr>
        <w:rPr/>
      </w:pPr>
      <w:r>
        <w:rPr>
          <w:rFonts w:ascii="Liberation Mono" w:hAnsi="Liberation Mono"/>
          <w:sz w:val="20"/>
          <w:szCs w:val="20"/>
        </w:rPr>
        <w:t xml:space="preserve">Embossing of expiration date the format (MM/YY or MM-YY) </w:t>
      </w:r>
    </w:p>
    <w:p>
      <w:pPr>
        <w:pStyle w:val="ListHeading"/>
        <w:numPr>
          <w:ilvl w:val="0"/>
          <w:numId w:val="1"/>
        </w:numPr>
        <w:rPr/>
      </w:pPr>
      <w:hyperlink r:id="rId6">
        <w:r>
          <w:rPr>
            <w:rStyle w:val="InternetLink"/>
            <w:rFonts w:ascii="Liberation Mono" w:hAnsi="Liberation Mono"/>
            <w:sz w:val="20"/>
            <w:szCs w:val="20"/>
          </w:rPr>
          <w:t>Magnetic stripe</w:t>
        </w:r>
      </w:hyperlink>
      <w:r>
        <w:rPr>
          <w:rFonts w:ascii="Liberation Mono" w:hAnsi="Liberation Mono"/>
          <w:sz w:val="20"/>
          <w:szCs w:val="20"/>
        </w:rPr>
        <w:t xml:space="preserve"> by reference to </w:t>
      </w:r>
      <w:hyperlink r:id="rId7">
        <w:r>
          <w:rPr>
            <w:rStyle w:val="InternetLink"/>
            <w:rFonts w:ascii="Liberation Mono" w:hAnsi="Liberation Mono"/>
            <w:sz w:val="20"/>
            <w:szCs w:val="20"/>
          </w:rPr>
          <w:t>ISO/IEC 7811</w:t>
        </w:r>
      </w:hyperlink>
      <w:r>
        <w:rPr>
          <w:rFonts w:ascii="Liberation Mono" w:hAnsi="Liberation Mono"/>
          <w:sz w:val="20"/>
          <w:szCs w:val="20"/>
        </w:rPr>
        <w:t xml:space="preserve"> </w:t>
      </w:r>
    </w:p>
    <w:p>
      <w:pPr>
        <w:pStyle w:val="ListHeading"/>
        <w:numPr>
          <w:ilvl w:val="0"/>
          <w:numId w:val="1"/>
        </w:numPr>
        <w:rPr/>
      </w:pPr>
      <w:hyperlink r:id="rId8">
        <w:r>
          <w:rPr>
            <w:rStyle w:val="InternetLink"/>
            <w:rFonts w:ascii="Liberation Mono" w:hAnsi="Liberation Mono"/>
            <w:sz w:val="20"/>
            <w:szCs w:val="20"/>
          </w:rPr>
          <w:t>Integrated circuit</w:t>
        </w:r>
      </w:hyperlink>
      <w:r>
        <w:rPr>
          <w:rFonts w:ascii="Liberation Mono" w:hAnsi="Liberation Mono"/>
          <w:sz w:val="20"/>
          <w:szCs w:val="20"/>
        </w:rPr>
        <w:t xml:space="preserve"> with contacts by reference to </w:t>
      </w:r>
      <w:hyperlink r:id="rId9">
        <w:r>
          <w:rPr>
            <w:rStyle w:val="InternetLink"/>
            <w:rFonts w:ascii="Liberation Mono" w:hAnsi="Liberation Mono"/>
            <w:sz w:val="20"/>
            <w:szCs w:val="20"/>
          </w:rPr>
          <w:t>ISO/IEC 7816</w:t>
        </w:r>
      </w:hyperlink>
      <w:r>
        <w:rPr>
          <w:rFonts w:ascii="Liberation Mono" w:hAnsi="Liberation Mono"/>
          <w:sz w:val="20"/>
          <w:szCs w:val="20"/>
        </w:rPr>
        <w:t xml:space="preserve">-1 </w:t>
      </w:r>
    </w:p>
    <w:p>
      <w:pPr>
        <w:pStyle w:val="ListHeading"/>
        <w:numPr>
          <w:ilvl w:val="0"/>
          <w:numId w:val="1"/>
        </w:numPr>
        <w:rPr/>
      </w:pPr>
      <w:r>
        <w:rPr>
          <w:rFonts w:ascii="Liberation Mono" w:hAnsi="Liberation Mono"/>
          <w:sz w:val="20"/>
          <w:szCs w:val="20"/>
        </w:rPr>
        <w:t xml:space="preserve">Integrated circuit without contacts by reference to </w:t>
      </w:r>
      <w:hyperlink r:id="rId10">
        <w:r>
          <w:rPr>
            <w:rStyle w:val="InternetLink"/>
            <w:rFonts w:ascii="Liberation Mono" w:hAnsi="Liberation Mono"/>
            <w:sz w:val="20"/>
            <w:szCs w:val="20"/>
          </w:rPr>
          <w:t>ISO/IEC 10536</w:t>
        </w:r>
      </w:hyperlink>
      <w:r>
        <w:rPr>
          <w:rFonts w:ascii="Liberation Mono" w:hAnsi="Liberation Mono"/>
          <w:sz w:val="20"/>
          <w:szCs w:val="20"/>
        </w:rPr>
        <w:t xml:space="preserve">-1, </w:t>
      </w:r>
      <w:hyperlink r:id="rId11">
        <w:r>
          <w:rPr>
            <w:rStyle w:val="InternetLink"/>
            <w:rFonts w:ascii="Liberation Mono" w:hAnsi="Liberation Mono"/>
            <w:sz w:val="20"/>
            <w:szCs w:val="20"/>
          </w:rPr>
          <w:t>ISO/IEC 14443</w:t>
        </w:r>
      </w:hyperlink>
      <w:r>
        <w:rPr>
          <w:rFonts w:ascii="Liberation Mono" w:hAnsi="Liberation Mono"/>
          <w:sz w:val="20"/>
          <w:szCs w:val="20"/>
        </w:rPr>
        <w:t xml:space="preserve">-1, and </w:t>
      </w:r>
      <w:hyperlink r:id="rId12">
        <w:r>
          <w:rPr>
            <w:rStyle w:val="InternetLink"/>
            <w:rFonts w:ascii="Liberation Mono" w:hAnsi="Liberation Mono"/>
            <w:sz w:val="20"/>
            <w:szCs w:val="20"/>
          </w:rPr>
          <w:t>ISO/IEC 15693</w:t>
        </w:r>
      </w:hyperlink>
      <w:r>
        <w:rPr>
          <w:rFonts w:ascii="Liberation Mono" w:hAnsi="Liberation Mono"/>
          <w:sz w:val="20"/>
          <w:szCs w:val="20"/>
        </w:rPr>
        <w:t>-1</w:t>
      </w:r>
    </w:p>
    <w:p>
      <w:pPr>
        <w:pStyle w:val="ListHeading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Heading2"/>
        <w:rPr>
          <w:rFonts w:ascii="Liberation Mono" w:hAnsi="Liberation Mono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Liberation Mono" w:hAnsi="Liberation Mono"/>
          <w:b w:val="false"/>
          <w:bCs w:val="false"/>
          <w:i/>
          <w:iCs/>
          <w:sz w:val="20"/>
          <w:szCs w:val="20"/>
        </w:rPr>
      </w:r>
    </w:p>
    <w:p>
      <w:pPr>
        <w:pStyle w:val="Heading2"/>
        <w:rPr/>
      </w:pPr>
      <w:r>
        <w:rPr>
          <w:rFonts w:ascii="Liberation Mono" w:hAnsi="Liberation Mono"/>
          <w:b w:val="false"/>
          <w:bCs w:val="false"/>
          <w:i/>
          <w:iCs/>
          <w:sz w:val="20"/>
          <w:szCs w:val="20"/>
        </w:rPr>
        <w:t xml:space="preserve">Magnetic tracks stanadard data stream </w:t>
      </w:r>
      <w:r>
        <w:rPr>
          <w:rFonts w:ascii="Liberation Mono" w:hAnsi="Liberation Mono"/>
          <w:b/>
          <w:bCs/>
          <w:sz w:val="20"/>
          <w:szCs w:val="20"/>
        </w:rPr>
        <w:t>-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-281305</wp:posOffset>
            </wp:positionH>
            <wp:positionV relativeFrom="paragraph">
              <wp:posOffset>215265</wp:posOffset>
            </wp:positionV>
            <wp:extent cx="6297930" cy="12388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bookmarkStart w:id="0" w:name="Track_1"/>
      <w:bookmarkEnd w:id="0"/>
      <w:r>
        <w:rPr>
          <w:rFonts w:ascii="Liberation Mono" w:hAnsi="Liberation Mono"/>
          <w:b/>
          <w:bCs/>
          <w:sz w:val="20"/>
          <w:szCs w:val="20"/>
        </w:rPr>
        <w:t>Track 1</w:t>
      </w:r>
    </w:p>
    <w:p>
      <w:pPr>
        <w:pStyle w:val="TextBody"/>
        <w:rPr/>
      </w:pPr>
      <w:r>
        <w:rPr>
          <w:rFonts w:ascii="Liberation Mono" w:hAnsi="Liberation Mono"/>
          <w:sz w:val="20"/>
          <w:szCs w:val="20"/>
        </w:rPr>
        <w:t xml:space="preserve">The Track 1 structure is specified as: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STX: Start sentinel "%"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FC: Format code "B" (The format described here. Format "A" is reserved for proprietary use.)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PAN: Primary Account Number, up to 19 digits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FS: Separator "^"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NM: Name, 2 to 26 characters (including separators, where appropriate, between surname, first name etc.)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FS: Separator "^"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ED: Expiration data, 4 digits or "^"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SC: Service code, 3 digits or "^"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DD: Discretionary data, balance of characters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ETX: End sentinel "?"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LRC: </w:t>
      </w:r>
      <w:hyperlink r:id="rId14">
        <w:r>
          <w:rPr>
            <w:rStyle w:val="InternetLink"/>
            <w:rFonts w:ascii="Liberation Mono" w:hAnsi="Liberation Mono"/>
            <w:sz w:val="20"/>
            <w:szCs w:val="20"/>
          </w:rPr>
          <w:t>Longitudinal redundancy check</w:t>
        </w:r>
      </w:hyperlink>
      <w:r>
        <w:rPr>
          <w:rFonts w:ascii="Liberation Mono" w:hAnsi="Liberation Mono"/>
          <w:sz w:val="20"/>
          <w:szCs w:val="20"/>
        </w:rPr>
        <w:t xml:space="preserve">, calculated according to </w:t>
      </w:r>
      <w:hyperlink r:id="rId15">
        <w:r>
          <w:rPr>
            <w:rStyle w:val="InternetLink"/>
            <w:rFonts w:ascii="Liberation Mono" w:hAnsi="Liberation Mono"/>
            <w:sz w:val="20"/>
            <w:szCs w:val="20"/>
          </w:rPr>
          <w:t>ISO/IEC 7811</w:t>
        </w:r>
      </w:hyperlink>
      <w:r>
        <w:rPr>
          <w:rFonts w:ascii="Liberation Mono" w:hAnsi="Liberation Mono"/>
          <w:sz w:val="20"/>
          <w:szCs w:val="20"/>
        </w:rPr>
        <w:t>-2</w:t>
      </w:r>
    </w:p>
    <w:p>
      <w:pPr>
        <w:pStyle w:val="TextBody"/>
        <w:rPr/>
      </w:pPr>
      <w:r>
        <w:rPr>
          <w:rFonts w:ascii="Liberation Mono" w:hAnsi="Liberation Mono"/>
          <w:sz w:val="20"/>
          <w:szCs w:val="20"/>
        </w:rPr>
        <w:t xml:space="preserve">The maximum record length is 79 alphanumeric characters. 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-25400</wp:posOffset>
            </wp:positionH>
            <wp:positionV relativeFrom="paragraph">
              <wp:posOffset>-73660</wp:posOffset>
            </wp:positionV>
            <wp:extent cx="6297930" cy="2424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/>
      </w:pPr>
      <w:bookmarkStart w:id="1" w:name="Examples"/>
      <w:bookmarkEnd w:id="1"/>
      <w:r>
        <w:rPr>
          <w:rFonts w:ascii="Liberation Mono" w:hAnsi="Liberation Mono"/>
          <w:i/>
          <w:iCs/>
          <w:sz w:val="20"/>
          <w:szCs w:val="20"/>
        </w:rPr>
        <w:t>Examples</w:t>
      </w:r>
    </w:p>
    <w:p>
      <w:pPr>
        <w:pStyle w:val="TextBody"/>
        <w:rPr/>
      </w:pPr>
      <w:r>
        <w:rPr>
          <w:rStyle w:val="SourceText"/>
          <w:rFonts w:ascii="Liberation Mono" w:hAnsi="Liberation Mono"/>
          <w:sz w:val="20"/>
          <w:szCs w:val="20"/>
        </w:rPr>
        <w:t>%B4815881002861896^YATES/EUGENE JOHN         ^37829821000123456789?</w:t>
      </w:r>
      <w:r>
        <w:rPr>
          <w:rFonts w:ascii="Liberation Mono" w:hAnsi="Liberation Mono"/>
          <w:sz w:val="20"/>
          <w:szCs w:val="20"/>
        </w:rPr>
        <w:t xml:space="preserve"> 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Style w:val="SourceText"/>
          <w:rFonts w:ascii="Liberation Mono" w:hAnsi="Liberation Mono"/>
          <w:sz w:val="20"/>
          <w:szCs w:val="20"/>
        </w:rPr>
        <w:t>%B4815881002861896^YATES/EUGENE L            ^^^0000000      00998000000?</w:t>
      </w:r>
    </w:p>
    <w:p>
      <w:pPr>
        <w:pStyle w:val="TextBody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Heading3"/>
        <w:rPr>
          <w:rFonts w:ascii="Liberation Mono" w:hAnsi="Liberation Mono"/>
          <w:b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</w:r>
    </w:p>
    <w:p>
      <w:pPr>
        <w:pStyle w:val="Heading3"/>
        <w:rPr/>
      </w:pPr>
      <w:r>
        <w:rPr>
          <w:rFonts w:ascii="Liberation Mono" w:hAnsi="Liberation Mono"/>
          <w:b/>
          <w:bCs/>
          <w:sz w:val="20"/>
          <w:szCs w:val="20"/>
        </w:rPr>
        <w:t>Track 2</w:t>
      </w:r>
    </w:p>
    <w:p>
      <w:pPr>
        <w:pStyle w:val="TextBody"/>
        <w:rPr/>
      </w:pPr>
      <w:r>
        <w:rPr>
          <w:rFonts w:ascii="Liberation Mono" w:hAnsi="Liberation Mono"/>
          <w:sz w:val="20"/>
          <w:szCs w:val="20"/>
        </w:rPr>
        <w:t xml:space="preserve">The Track 2 structure is specified as: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STX: Start sentinel ";"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PAN: Primary Account Number, up to 19 digits, as defined in </w:t>
      </w:r>
      <w:hyperlink r:id="rId17">
        <w:r>
          <w:rPr>
            <w:rStyle w:val="InternetLink"/>
            <w:rFonts w:ascii="Liberation Mono" w:hAnsi="Liberation Mono"/>
            <w:sz w:val="20"/>
            <w:szCs w:val="20"/>
          </w:rPr>
          <w:t>ISO/IEC 7812</w:t>
        </w:r>
      </w:hyperlink>
      <w:r>
        <w:rPr>
          <w:rFonts w:ascii="Liberation Mono" w:hAnsi="Liberation Mono"/>
          <w:sz w:val="20"/>
          <w:szCs w:val="20"/>
        </w:rPr>
        <w:t xml:space="preserve">-1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FS: Separator "="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ED: Expiration date, YYMM or "=" if not present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SC: Service code, 3 digits or "=" if not present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DD: Discretionary data, balance of available digits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ETX: End sentinel "?"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Fonts w:ascii="Liberation Mono" w:hAnsi="Liberation Mono"/>
          <w:sz w:val="20"/>
          <w:szCs w:val="20"/>
        </w:rPr>
        <w:t xml:space="preserve">LRC: </w:t>
      </w:r>
      <w:hyperlink r:id="rId18">
        <w:r>
          <w:rPr>
            <w:rStyle w:val="InternetLink"/>
            <w:rFonts w:ascii="Liberation Mono" w:hAnsi="Liberation Mono"/>
            <w:sz w:val="20"/>
            <w:szCs w:val="20"/>
          </w:rPr>
          <w:t>Longitudinal redundancy check</w:t>
        </w:r>
      </w:hyperlink>
      <w:r>
        <w:rPr>
          <w:rFonts w:ascii="Liberation Mono" w:hAnsi="Liberation Mono"/>
          <w:sz w:val="20"/>
          <w:szCs w:val="20"/>
        </w:rPr>
        <w:t>, calculated according to ISO/IEC 7811-2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6350</wp:posOffset>
            </wp:positionH>
            <wp:positionV relativeFrom="paragraph">
              <wp:posOffset>160655</wp:posOffset>
            </wp:positionV>
            <wp:extent cx="6297930" cy="2298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Style w:val="SourceText"/>
          <w:rFonts w:ascii="Liberation Mono" w:hAnsi="Liberation Mono"/>
          <w:sz w:val="20"/>
          <w:szCs w:val="20"/>
        </w:rPr>
        <w:t>The maximum record length is 40 numeric digits (</w:t>
      </w:r>
      <w:r>
        <w:rPr>
          <w:rStyle w:val="SourceText"/>
          <w:rFonts w:ascii="Liberation Mono" w:hAnsi="Liberation Mono"/>
          <w:i/>
          <w:iCs/>
          <w:sz w:val="20"/>
          <w:szCs w:val="20"/>
        </w:rPr>
        <w:t>e.g.,</w:t>
      </w:r>
      <w:r>
        <w:rPr>
          <w:rStyle w:val="SourceText"/>
          <w:rFonts w:ascii="Liberation Mono" w:hAnsi="Liberation Mono"/>
          <w:sz w:val="20"/>
          <w:szCs w:val="20"/>
        </w:rPr>
        <w:t xml:space="preserve"> 5095700000000).</w:t>
      </w:r>
    </w:p>
    <w:p>
      <w:pPr>
        <w:pStyle w:val="TextBody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Heading3"/>
        <w:rPr/>
      </w:pPr>
      <w:r>
        <w:rPr>
          <w:rFonts w:ascii="Liberation Mono" w:hAnsi="Liberation Mono"/>
          <w:b/>
          <w:bCs/>
          <w:sz w:val="20"/>
          <w:szCs w:val="20"/>
        </w:rPr>
        <w:t>Track 3 ( ISO 4909 )</w:t>
      </w:r>
    </w:p>
    <w:p>
      <w:pPr>
        <w:pStyle w:val="TextBody"/>
        <w:rPr/>
      </w:pPr>
      <w:r>
        <w:rPr>
          <w:rFonts w:ascii="Liberation Mono" w:hAnsi="Liberation Mono"/>
          <w:sz w:val="20"/>
          <w:szCs w:val="20"/>
        </w:rPr>
        <w:t>Track 3 is virtually unused by the major worldwide networks and often isn't even physically present on the card by virtue of a narrower magnetic stripe.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Style w:val="SourceText"/>
          <w:rFonts w:ascii="Liberation Mono" w:hAnsi="Liberation Mono"/>
          <w:sz w:val="20"/>
          <w:szCs w:val="20"/>
        </w:rPr>
        <w:t>A notable exception to this is Germany, where Track 3 content was used nationally as the primary source of authorization and clearing information for debit card processing prior to the adoption of the "SECCOS" ICC standards. Track 3 is standardized nationally to contain both the cardholder's bank account number and branch sort code (BLZ).</w:t>
      </w:r>
    </w:p>
    <w:p>
      <w:pPr>
        <w:pStyle w:val="TextBody"/>
        <w:rPr>
          <w:rStyle w:val="SourceText"/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1905</wp:posOffset>
            </wp:positionH>
            <wp:positionV relativeFrom="paragraph">
              <wp:posOffset>-99695</wp:posOffset>
            </wp:positionV>
            <wp:extent cx="5831205" cy="33159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/>
      </w:pPr>
      <w:r>
        <w:rPr>
          <w:rFonts w:ascii="Liberation Mono" w:hAnsi="Liberation Mono"/>
          <w:b w:val="false"/>
          <w:bCs w:val="false"/>
          <w:i/>
          <w:iCs/>
          <w:sz w:val="20"/>
          <w:szCs w:val="20"/>
        </w:rPr>
        <w:t>Service code values common in financial cards:</w:t>
      </w:r>
      <w:r>
        <w:rPr>
          <w:rFonts w:ascii="Liberation Mono" w:hAnsi="Liberation Mono"/>
          <w:b/>
          <w:bCs/>
          <w:i/>
          <w:iCs/>
          <w:sz w:val="20"/>
          <w:szCs w:val="20"/>
        </w:rPr>
        <w:t xml:space="preserve"> </w:t>
      </w:r>
    </w:p>
    <w:p>
      <w:pPr>
        <w:pStyle w:val="TextBody"/>
        <w:rPr/>
      </w:pPr>
      <w:r>
        <w:rPr>
          <w:rFonts w:ascii="Liberation Mono" w:hAnsi="Liberation Mono"/>
          <w:b/>
          <w:bCs/>
          <w:sz w:val="20"/>
          <w:szCs w:val="20"/>
        </w:rPr>
        <w:t>First digit</w:t>
      </w:r>
      <w:r>
        <w:rPr>
          <w:rFonts w:ascii="Liberation Mono" w:hAnsi="Liberation Mono"/>
          <w:sz w:val="20"/>
          <w:szCs w:val="20"/>
        </w:rPr>
        <w:t xml:space="preserve">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1: International interchange OK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2: International interchange, use </w:t>
      </w:r>
      <w:hyperlink r:id="rId21">
        <w:r>
          <w:rPr>
            <w:rStyle w:val="InternetLink"/>
            <w:rFonts w:ascii="Liberation Mono" w:hAnsi="Liberation Mono"/>
            <w:sz w:val="20"/>
            <w:szCs w:val="20"/>
          </w:rPr>
          <w:t>IC (chip)</w:t>
        </w:r>
      </w:hyperlink>
      <w:r>
        <w:rPr>
          <w:rFonts w:ascii="Liberation Mono" w:hAnsi="Liberation Mono"/>
          <w:sz w:val="20"/>
          <w:szCs w:val="20"/>
        </w:rPr>
        <w:t xml:space="preserve"> where feasible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5: National interchange only except under bilateral agreement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6: National interchange only except under bilateral agreement, use IC (chip) where feasible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7: No interchange except under bilateral agreement (closed loop) </w:t>
      </w:r>
    </w:p>
    <w:p>
      <w:pPr>
        <w:pStyle w:val="ListContents"/>
        <w:spacing w:before="0" w:after="283"/>
        <w:rPr/>
      </w:pPr>
      <w:r>
        <w:rPr>
          <w:rFonts w:ascii="Liberation Mono" w:hAnsi="Liberation Mono"/>
          <w:sz w:val="20"/>
          <w:szCs w:val="20"/>
        </w:rPr>
        <w:t>9: Test</w:t>
      </w:r>
    </w:p>
    <w:p>
      <w:pPr>
        <w:pStyle w:val="TextBody"/>
        <w:rPr/>
      </w:pPr>
      <w:r>
        <w:rPr>
          <w:rFonts w:ascii="Liberation Mono" w:hAnsi="Liberation Mono"/>
          <w:b/>
          <w:bCs/>
          <w:sz w:val="20"/>
          <w:szCs w:val="20"/>
        </w:rPr>
        <w:t>Second digit</w:t>
      </w:r>
      <w:r>
        <w:rPr>
          <w:rFonts w:ascii="Liberation Mono" w:hAnsi="Liberation Mono"/>
          <w:sz w:val="20"/>
          <w:szCs w:val="20"/>
        </w:rPr>
        <w:t xml:space="preserve">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0: Normal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2: Contact issuer via online means </w:t>
      </w:r>
    </w:p>
    <w:p>
      <w:pPr>
        <w:pStyle w:val="ListContents"/>
        <w:spacing w:before="0" w:after="283"/>
        <w:rPr/>
      </w:pPr>
      <w:r>
        <w:rPr>
          <w:rFonts w:ascii="Liberation Mono" w:hAnsi="Liberation Mono"/>
          <w:sz w:val="20"/>
          <w:szCs w:val="20"/>
        </w:rPr>
        <w:t>4: Contact issuer via online means except under bilateral agreement</w:t>
      </w:r>
    </w:p>
    <w:p>
      <w:pPr>
        <w:pStyle w:val="TextBody"/>
        <w:rPr/>
      </w:pPr>
      <w:r>
        <w:rPr>
          <w:rFonts w:ascii="Liberation Mono" w:hAnsi="Liberation Mono"/>
          <w:b/>
          <w:bCs/>
          <w:sz w:val="20"/>
          <w:szCs w:val="20"/>
        </w:rPr>
        <w:t>Third digit</w:t>
      </w:r>
      <w:r>
        <w:rPr>
          <w:rFonts w:ascii="Liberation Mono" w:hAnsi="Liberation Mono"/>
          <w:sz w:val="20"/>
          <w:szCs w:val="20"/>
        </w:rPr>
        <w:t xml:space="preserve">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0: No restrictions, PIN required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1: No restrictions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2: Goods and services only (no cash)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3: ATM only, PIN required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4: Cash only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5: Goods and services only (no cash), PIN required </w:t>
      </w:r>
    </w:p>
    <w:p>
      <w:pPr>
        <w:pStyle w:val="ListContents"/>
        <w:rPr/>
      </w:pPr>
      <w:r>
        <w:rPr>
          <w:rFonts w:ascii="Liberation Mono" w:hAnsi="Liberation Mono"/>
          <w:sz w:val="20"/>
          <w:szCs w:val="20"/>
        </w:rPr>
        <w:t xml:space="preserve">6: No restrictions, use PIN where feasible </w:t>
      </w:r>
    </w:p>
    <w:p>
      <w:pPr>
        <w:pStyle w:val="ListContents"/>
        <w:spacing w:before="0" w:after="283"/>
        <w:rPr/>
      </w:pPr>
      <w:r>
        <w:rPr>
          <w:rFonts w:ascii="Liberation Mono" w:hAnsi="Liberation Mono"/>
          <w:sz w:val="20"/>
          <w:szCs w:val="20"/>
        </w:rPr>
        <w:t>7: Goods and services only (no cash), use PIN where feasible</w:t>
      </w:r>
    </w:p>
    <w:p>
      <w:pPr>
        <w:pStyle w:val="ListContents"/>
        <w:spacing w:before="0" w:after="283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ListContents"/>
        <w:spacing w:before="0" w:after="283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ListContents"/>
        <w:spacing w:before="0" w:after="283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ListContents"/>
        <w:spacing w:before="0" w:after="283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ListContents"/>
        <w:spacing w:before="0" w:after="283"/>
        <w:rPr/>
      </w:pPr>
      <w:r>
        <w:rPr>
          <w:rFonts w:ascii="Liberation Mono" w:hAnsi="Liberation Mono"/>
          <w:sz w:val="20"/>
          <w:szCs w:val="20"/>
        </w:rPr>
        <w:t xml:space="preserve">analysis Hardware Tools - </w:t>
      </w:r>
    </w:p>
    <w:p>
      <w:pPr>
        <w:pStyle w:val="ListContents"/>
        <w:spacing w:before="0" w:after="283"/>
        <w:rPr/>
      </w:pPr>
      <w:r>
        <w:rPr>
          <w:rFonts w:ascii="Liberation Mono" w:hAnsi="Liberation Mono"/>
          <w:b/>
          <w:bCs/>
          <w:sz w:val="20"/>
          <w:szCs w:val="20"/>
        </w:rPr>
        <w:t>MagStripe Readers or Reader/Writer –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to read and write the data present on the Magnetic Stripe on the card.</w:t>
      </w:r>
    </w:p>
    <w:p>
      <w:pPr>
        <w:pStyle w:val="Heading1"/>
        <w:spacing w:before="0" w:after="283"/>
        <w:rPr/>
      </w:pPr>
      <w:bookmarkStart w:id="2" w:name="title"/>
      <w:bookmarkStart w:id="3" w:name="productTitle"/>
      <w:bookmarkEnd w:id="2"/>
      <w:bookmarkEnd w:id="3"/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-473075</wp:posOffset>
            </wp:positionH>
            <wp:positionV relativeFrom="paragraph">
              <wp:posOffset>46990</wp:posOffset>
            </wp:positionV>
            <wp:extent cx="3030855" cy="30308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DEFTUN USB 3-Track Magnetic Stripe Magstripe Scanner Swipe POS Credit Card Reader (MSR90) </w:t>
      </w:r>
    </w:p>
    <w:p>
      <w:pPr>
        <w:pStyle w:val="ListContents"/>
        <w:spacing w:before="0" w:after="283"/>
        <w:rPr/>
      </w:pPr>
      <w:hyperlink r:id="rId23">
        <w:r>
          <w:rPr>
            <w:rStyle w:val="InternetLink"/>
            <w:rFonts w:ascii="Liberation Mono" w:hAnsi="Liberation Mono"/>
            <w:b w:val="false"/>
            <w:bCs w:val="false"/>
            <w:sz w:val="20"/>
            <w:szCs w:val="20"/>
          </w:rPr>
          <w:t>Link to Buy</w:t>
        </w:r>
      </w:hyperlink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</w:t>
      </w:r>
    </w:p>
    <w:p>
      <w:pPr>
        <w:pStyle w:val="ListContents"/>
        <w:spacing w:before="0" w:after="283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>Price Around (</w:t>
      </w:r>
      <w:bookmarkStart w:id="4" w:name="priceblock_saleprice"/>
      <w:bookmarkEnd w:id="4"/>
      <w:r>
        <w:rPr>
          <w:rFonts w:ascii="Liberation Mono" w:hAnsi="Liberation Mono"/>
          <w:b w:val="false"/>
          <w:bCs w:val="false"/>
          <w:sz w:val="20"/>
          <w:szCs w:val="20"/>
        </w:rPr>
        <w:t xml:space="preserve">2,178 </w:t>
      </w:r>
      <w:r>
        <w:rPr>
          <w:rFonts w:ascii="Liberation Mono" w:hAnsi="Liberation Mono"/>
          <w:b w:val="false"/>
          <w:bCs w:val="false"/>
          <w:sz w:val="20"/>
          <w:szCs w:val="20"/>
        </w:rPr>
        <w:t>INR)</w:t>
      </w:r>
    </w:p>
    <w:p>
      <w:pPr>
        <w:pStyle w:val="TextBody"/>
        <w:spacing w:before="0" w:after="283"/>
        <w:rPr/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Usb interface, keyboard emulation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on windows and mac, and with txt, word, excel, pos systems or any keyboard type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Reads 3 track data, high and low coercivity magnetic stripe cards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Reads iso7811, aamva and most other card data formats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Perfect for POS, Banking, Loyalty, Access Control and other applications </w:t>
      </w:r>
    </w:p>
    <w:p>
      <w:pPr>
        <w:pStyle w:val="ListContents"/>
        <w:spacing w:before="0" w:after="283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istContents"/>
        <w:spacing w:before="0" w:after="283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Liberation Mono" w:hAnsi="Liberation Mono" w:cs="OpenSymbol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10">
    <w:name w:val="ListLabel 10"/>
    <w:qFormat/>
    <w:rPr>
      <w:rFonts w:ascii="Liberation Mono" w:hAnsi="Liberation Mono" w:cs="OpenSymbol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Mono" w:hAnsi="Liberation Mono" w:cs="OpenSymbol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0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ListHeading">
    <w:name w:val="List Heading"/>
    <w:basedOn w:val="Normal"/>
    <w:qFormat/>
    <w:pPr/>
    <w:rPr/>
  </w:style>
  <w:style w:type="paragraph" w:styleId="ListContents">
    <w:name w:val="List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Payment_Card_Industry_Data_Security_Standard" TargetMode="External"/><Relationship Id="rId4" Type="http://schemas.openxmlformats.org/officeDocument/2006/relationships/hyperlink" Target="https://en.wikipedia.org/wiki/Payment_Card_Industry_Security_Standards_Council" TargetMode="External"/><Relationship Id="rId5" Type="http://schemas.openxmlformats.org/officeDocument/2006/relationships/hyperlink" Target="https://en.wikipedia.org/wiki/ISO/IEC_7811" TargetMode="External"/><Relationship Id="rId6" Type="http://schemas.openxmlformats.org/officeDocument/2006/relationships/hyperlink" Target="https://en.wikipedia.org/wiki/Magnetic_stripe" TargetMode="External"/><Relationship Id="rId7" Type="http://schemas.openxmlformats.org/officeDocument/2006/relationships/hyperlink" Target="https://en.wikipedia.org/wiki/ISO/IEC_7811" TargetMode="External"/><Relationship Id="rId8" Type="http://schemas.openxmlformats.org/officeDocument/2006/relationships/hyperlink" Target="https://en.wikipedia.org/wiki/Integrated_circuit" TargetMode="External"/><Relationship Id="rId9" Type="http://schemas.openxmlformats.org/officeDocument/2006/relationships/hyperlink" Target="https://en.wikipedia.org/wiki/ISO/IEC_7816" TargetMode="External"/><Relationship Id="rId10" Type="http://schemas.openxmlformats.org/officeDocument/2006/relationships/hyperlink" Target="https://en.wikipedia.org/w/index.php?title=ISO/IEC_10536&amp;action=edit&amp;redlink=1" TargetMode="External"/><Relationship Id="rId11" Type="http://schemas.openxmlformats.org/officeDocument/2006/relationships/hyperlink" Target="https://en.wikipedia.org/wiki/ISO/IEC_14443" TargetMode="External"/><Relationship Id="rId12" Type="http://schemas.openxmlformats.org/officeDocument/2006/relationships/hyperlink" Target="https://en.wikipedia.org/wiki/ISO/IEC_15693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en.wikipedia.org/wiki/Longitudinal_redundancy_check" TargetMode="External"/><Relationship Id="rId15" Type="http://schemas.openxmlformats.org/officeDocument/2006/relationships/hyperlink" Target="https://en.wikipedia.org/wiki/ISO/IEC_7811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s://en.wikipedia.org/wiki/ISO/IEC_7812" TargetMode="External"/><Relationship Id="rId18" Type="http://schemas.openxmlformats.org/officeDocument/2006/relationships/hyperlink" Target="https://en.wikipedia.org/wiki/Longitudinal_redundancy_check" TargetMode="Externa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hyperlink" Target="https://en.wikipedia.org/wiki/EMV" TargetMode="External"/><Relationship Id="rId22" Type="http://schemas.openxmlformats.org/officeDocument/2006/relationships/image" Target="media/image6.png"/><Relationship Id="rId23" Type="http://schemas.openxmlformats.org/officeDocument/2006/relationships/hyperlink" Target="https://www.amazon.in/Deftun-3-Track-Magnetic-Magstripe-Scanner/dp/B01DVWQ2BO?tag=googinhydr18418-21&amp;tag=googinkenshoo-21&amp;ascsubtag=a8e1194f-b52f-4894-8569-daf7a4460cc6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5</Pages>
  <Words>682</Words>
  <Characters>3574</Characters>
  <CharactersWithSpaces>4213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2018-08-20T15:12:10Z</dcterms:created>
  <dc:creator/>
  <dc:description/>
  <dc:language>en-IN</dc:language>
  <cp:lastModifiedBy/>
  <dcterms:modified xsi:type="dcterms:W3CDTF">2018-08-20T16:00:50Z</dcterms:modified>
  <cp:revision>11</cp:revision>
  <dc:subject/>
  <dc:title/>
</cp:coreProperties>
</file>