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0E" w:rsidRDefault="005F5F93">
      <w:pPr>
        <w:pStyle w:val="Title"/>
      </w:pP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 w:rsidR="009B65B1">
        <w:t xml:space="preserve"> </w:t>
      </w:r>
      <w:bookmarkStart w:id="0" w:name="_GoBack"/>
      <w:bookmarkEnd w:id="0"/>
      <w:r>
        <w:t>Project Proposal</w:t>
      </w:r>
    </w:p>
    <w:p w:rsidR="00DA510E" w:rsidRDefault="005F5F93">
      <w:pPr>
        <w:pStyle w:val="Heading1"/>
      </w:pPr>
      <w:r>
        <w:t>1. Organization Overview</w:t>
      </w:r>
    </w:p>
    <w:p w:rsidR="00DA510E" w:rsidRDefault="005F5F93">
      <w:r w:rsidRPr="00CF69C7">
        <w:rPr>
          <w:b/>
        </w:rPr>
        <w:t>Name</w:t>
      </w:r>
      <w:r>
        <w:t xml:space="preserve">: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br/>
      </w:r>
    </w:p>
    <w:p w:rsidR="00DA510E" w:rsidRDefault="005F5F93">
      <w:r w:rsidRPr="00CF69C7">
        <w:rPr>
          <w:b/>
        </w:rPr>
        <w:t>Brief History</w:t>
      </w:r>
      <w:r>
        <w:t xml:space="preserve">: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t xml:space="preserve"> is a modern medical services provider that combines both online and physical consultations to offer accessible healthc</w:t>
      </w:r>
      <w:r w:rsidR="00CF69C7">
        <w:t>are solutions. Founded in 2025</w:t>
      </w:r>
      <w:r>
        <w:t xml:space="preserve">, </w:t>
      </w:r>
      <w:proofErr w:type="spellStart"/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proofErr w:type="spellEnd"/>
      <w:r>
        <w:t xml:space="preserve"> aims to bridge the gap between busy individuals and quality healthcare services, making it easier for people to get medical attention, whether they are at home or on the go.</w:t>
      </w:r>
      <w:r>
        <w:br/>
      </w:r>
    </w:p>
    <w:p w:rsidR="00DA510E" w:rsidRDefault="005F5F93">
      <w:r w:rsidRPr="00CF69C7">
        <w:rPr>
          <w:b/>
        </w:rPr>
        <w:t>Mission Statement</w:t>
      </w:r>
      <w:r>
        <w:t>: To provide convenient, reliable, and comprehensive me</w:t>
      </w:r>
      <w:r>
        <w:t>dical services to individuals who struggle to find time for traditional medical checkups.</w:t>
      </w:r>
      <w:r>
        <w:br/>
      </w:r>
    </w:p>
    <w:p w:rsidR="00DA510E" w:rsidRDefault="005F5F93">
      <w:r w:rsidRPr="00CF69C7">
        <w:rPr>
          <w:b/>
        </w:rPr>
        <w:t>Vision Statement</w:t>
      </w:r>
      <w:r>
        <w:t>: To become a leading provider of integrated online and physical healthcare solutions, ensuring accessibility and quality care for all.</w:t>
      </w:r>
      <w:r>
        <w:br/>
      </w:r>
    </w:p>
    <w:p w:rsidR="00DA510E" w:rsidRDefault="005F5F93">
      <w:r w:rsidRPr="00020BEA">
        <w:rPr>
          <w:b/>
        </w:rPr>
        <w:t>Target Audie</w:t>
      </w:r>
      <w:r w:rsidRPr="00020BEA">
        <w:rPr>
          <w:b/>
        </w:rPr>
        <w:t>nce</w:t>
      </w:r>
      <w:r>
        <w:t xml:space="preserve">: The </w:t>
      </w:r>
      <w:proofErr w:type="gramStart"/>
      <w:r>
        <w:t>general public</w:t>
      </w:r>
      <w:proofErr w:type="gramEnd"/>
      <w:r>
        <w:t>, with a focus on busy individuals who require flexible medical services. This includes working professionals, parents, elderly patients, and those preferring home consultations.</w:t>
      </w:r>
      <w:r>
        <w:br/>
      </w:r>
    </w:p>
    <w:p w:rsidR="00DA510E" w:rsidRDefault="005F5F93">
      <w:pPr>
        <w:pStyle w:val="Heading1"/>
      </w:pPr>
      <w:r>
        <w:t>2. Website Goals and Objectives</w:t>
      </w:r>
    </w:p>
    <w:p w:rsidR="00DA510E" w:rsidRDefault="005F5F93">
      <w:r w:rsidRPr="00CF69C7">
        <w:rPr>
          <w:b/>
        </w:rPr>
        <w:t>Specific Goals:</w:t>
      </w:r>
      <w:r>
        <w:br/>
      </w:r>
    </w:p>
    <w:p w:rsidR="00DA510E" w:rsidRDefault="005F5F93">
      <w:r>
        <w:t>- Pr</w:t>
      </w:r>
      <w:r>
        <w:t>ovide a seamless platform for purchasing both OTC and prescription medications.</w:t>
      </w:r>
      <w:r>
        <w:br/>
      </w:r>
    </w:p>
    <w:p w:rsidR="00DA510E" w:rsidRDefault="005F5F93">
      <w:r>
        <w:t>- Offer immediate, responsive online diagnosis through interactive questionnaires.</w:t>
      </w:r>
      <w:r>
        <w:br/>
      </w:r>
    </w:p>
    <w:p w:rsidR="00DA510E" w:rsidRDefault="005F5F93">
      <w:r>
        <w:t>- Facilitate online and physical consultations, including house calls for individuals unabl</w:t>
      </w:r>
      <w:r>
        <w:t>e to visit clinics.</w:t>
      </w:r>
      <w:r>
        <w:br/>
      </w:r>
    </w:p>
    <w:p w:rsidR="00DA510E" w:rsidRDefault="005F5F93" w:rsidP="009B65B1">
      <w:r>
        <w:t xml:space="preserve">- Provide referrals to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t xml:space="preserve"> staff or other hospitals for specialized care, ensuring continuity of care.</w:t>
      </w:r>
      <w:r>
        <w:br/>
      </w:r>
    </w:p>
    <w:p w:rsidR="00DA510E" w:rsidRPr="00CF69C7" w:rsidRDefault="005F5F93">
      <w:pPr>
        <w:rPr>
          <w:b/>
        </w:rPr>
      </w:pPr>
      <w:r w:rsidRPr="00CF69C7">
        <w:rPr>
          <w:b/>
        </w:rPr>
        <w:lastRenderedPageBreak/>
        <w:t>K</w:t>
      </w:r>
      <w:r w:rsidRPr="00CF69C7">
        <w:rPr>
          <w:b/>
        </w:rPr>
        <w:t>ey Performance Indicators (</w:t>
      </w:r>
      <w:r w:rsidRPr="00CF69C7">
        <w:rPr>
          <w:b/>
        </w:rPr>
        <w:t>KPIs):</w:t>
      </w:r>
      <w:r w:rsidRPr="00CF69C7">
        <w:rPr>
          <w:b/>
        </w:rPr>
        <w:br/>
      </w:r>
    </w:p>
    <w:p w:rsidR="00DA510E" w:rsidRDefault="005F5F93">
      <w:r>
        <w:t>- Number of user accounts created and active users.</w:t>
      </w:r>
      <w:r>
        <w:br/>
      </w:r>
    </w:p>
    <w:p w:rsidR="00DA510E" w:rsidRDefault="005F5F93">
      <w:r>
        <w:t>- Volume of online consultations and house calls requested.</w:t>
      </w:r>
      <w:r>
        <w:br/>
      </w:r>
    </w:p>
    <w:p w:rsidR="00DA510E" w:rsidRDefault="005F5F93">
      <w:r>
        <w:t>- Sales of prescription and OTC medications.</w:t>
      </w:r>
      <w:r>
        <w:br/>
      </w:r>
    </w:p>
    <w:p w:rsidR="00DA510E" w:rsidRDefault="005F5F93">
      <w:r>
        <w:t>- User engagement with diagnosis tools and educational content, as well as retention rat</w:t>
      </w:r>
      <w:r>
        <w:t>es.</w:t>
      </w:r>
      <w:r>
        <w:br/>
      </w:r>
    </w:p>
    <w:p w:rsidR="00DA510E" w:rsidRDefault="00020BEA">
      <w:pPr>
        <w:pStyle w:val="Heading1"/>
      </w:pPr>
      <w:r>
        <w:t xml:space="preserve">3. </w:t>
      </w:r>
      <w:r w:rsidR="005F5F93">
        <w:t>Analysis</w:t>
      </w:r>
    </w:p>
    <w:p w:rsidR="00DA510E" w:rsidRDefault="005F5F93">
      <w:r>
        <w:t xml:space="preserve">The healthcare industry is increasingly shifting towards digital solutions. The growing demand for telemedicine and online pharmacies presents an opportunity for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t xml:space="preserve"> to offer efficient, easily accessible heal</w:t>
      </w:r>
      <w:r>
        <w:t>thcare services to a broad range of individuals, including those unable to attend physical clinics due to busy schedules.</w:t>
      </w:r>
      <w:r>
        <w:br/>
      </w:r>
    </w:p>
    <w:p w:rsidR="00DA510E" w:rsidRDefault="005F5F93">
      <w:r w:rsidRPr="00CF69C7">
        <w:rPr>
          <w:b/>
        </w:rPr>
        <w:t>Target Market:</w:t>
      </w:r>
      <w:r>
        <w:t xml:space="preserve"> Busy individuals, working professionals, elderly patients, and those who prefer home-based medical care.</w:t>
      </w:r>
      <w:r>
        <w:br/>
      </w:r>
    </w:p>
    <w:p w:rsidR="00DA510E" w:rsidRDefault="005F5F93">
      <w:r w:rsidRPr="00CF69C7">
        <w:rPr>
          <w:b/>
        </w:rPr>
        <w:t>Competitor A</w:t>
      </w:r>
      <w:r w:rsidRPr="00CF69C7">
        <w:rPr>
          <w:b/>
        </w:rPr>
        <w:t>nalysis:</w:t>
      </w:r>
      <w:r>
        <w:t xml:space="preserve"> Competitors offering similar services, such as other telemedicine platforms or online pharmacies, </w:t>
      </w:r>
      <w:proofErr w:type="gramStart"/>
      <w:r>
        <w:t>will be analyzed</w:t>
      </w:r>
      <w:proofErr w:type="gramEnd"/>
      <w:r>
        <w:t xml:space="preserve"> to understand their strengths and weaknesses. This insight will help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t xml:space="preserve"> stand out by offering unique features like house calls</w:t>
      </w:r>
      <w:r>
        <w:t xml:space="preserve"> and integrated online diagnosis tools.</w:t>
      </w:r>
      <w:r>
        <w:br/>
      </w:r>
    </w:p>
    <w:p w:rsidR="00DA510E" w:rsidRDefault="005F5F93">
      <w:r w:rsidRPr="00CF69C7">
        <w:rPr>
          <w:b/>
        </w:rPr>
        <w:t>Unique Selling Proposition (USP):</w:t>
      </w:r>
      <w:r>
        <w:t xml:space="preserve">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t>'s combination of online diagnosis, house calls, and a user-friendly platform sets it apart from traditional clinics and other online services, providing a more comprehensiv</w:t>
      </w:r>
      <w:r>
        <w:t>e and accessible healthcare experience.</w:t>
      </w:r>
      <w:r>
        <w:br/>
      </w:r>
    </w:p>
    <w:p w:rsidR="00DA510E" w:rsidRDefault="005F5F93">
      <w:pPr>
        <w:pStyle w:val="Heading1"/>
      </w:pPr>
      <w:r>
        <w:t>4. Proposed Features and Functionality</w:t>
      </w:r>
    </w:p>
    <w:p w:rsidR="00DA510E" w:rsidRPr="00CF69C7" w:rsidRDefault="005F5F93">
      <w:pPr>
        <w:rPr>
          <w:b/>
        </w:rPr>
      </w:pPr>
      <w:r w:rsidRPr="00CF69C7">
        <w:rPr>
          <w:b/>
        </w:rPr>
        <w:t>Essential Features:</w:t>
      </w:r>
      <w:r w:rsidRPr="00CF69C7">
        <w:rPr>
          <w:b/>
        </w:rPr>
        <w:br/>
      </w:r>
    </w:p>
    <w:p w:rsidR="00DA510E" w:rsidRDefault="005F5F93">
      <w:r w:rsidRPr="00CF69C7">
        <w:rPr>
          <w:b/>
        </w:rPr>
        <w:t>- Online Store</w:t>
      </w:r>
      <w:r>
        <w:t>: A seamless e-commerce platform to purchase OTC and prescription medications, ensuring secure transactions.</w:t>
      </w:r>
      <w:r>
        <w:br/>
      </w:r>
    </w:p>
    <w:p w:rsidR="00DA510E" w:rsidRDefault="005F5F93">
      <w:r w:rsidRPr="00CF69C7">
        <w:rPr>
          <w:b/>
        </w:rPr>
        <w:lastRenderedPageBreak/>
        <w:t>- Diagnosis Tool</w:t>
      </w:r>
      <w:r>
        <w:t>: A responsive,</w:t>
      </w:r>
      <w:r>
        <w:t xml:space="preserve"> questionnaire-based tool that provides immediate advice, diagnoses, and referrals.</w:t>
      </w:r>
      <w:r>
        <w:br/>
      </w:r>
    </w:p>
    <w:p w:rsidR="00DA510E" w:rsidRDefault="005F5F93" w:rsidP="00246808">
      <w:r w:rsidRPr="00CF69C7">
        <w:rPr>
          <w:b/>
        </w:rPr>
        <w:t>- User Accounts:</w:t>
      </w:r>
      <w:r>
        <w:t xml:space="preserve"> Secure user accounts for managing consultations, prescriptions, and medical history.</w:t>
      </w:r>
      <w:r>
        <w:br/>
      </w:r>
    </w:p>
    <w:p w:rsidR="00DA510E" w:rsidRDefault="005F5F93">
      <w:r w:rsidRPr="00CF69C7">
        <w:rPr>
          <w:b/>
        </w:rPr>
        <w:t>-</w:t>
      </w:r>
      <w:r w:rsidRPr="00CF69C7">
        <w:rPr>
          <w:b/>
        </w:rPr>
        <w:t xml:space="preserve"> Referral System</w:t>
      </w:r>
      <w:r>
        <w:t xml:space="preserve">: A system </w:t>
      </w:r>
      <w:proofErr w:type="gramStart"/>
      <w:r>
        <w:t>to directly refer</w:t>
      </w:r>
      <w:proofErr w:type="gramEnd"/>
      <w:r>
        <w:t xml:space="preserve"> users to 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>
        <w:t xml:space="preserve"> staff or partner hospitals for specialized care.</w:t>
      </w:r>
      <w:r>
        <w:br/>
      </w:r>
    </w:p>
    <w:p w:rsidR="00DA510E" w:rsidRDefault="005F5F93">
      <w:r w:rsidRPr="00CF69C7">
        <w:rPr>
          <w:b/>
        </w:rPr>
        <w:t>- Limited Translation Tools:</w:t>
      </w:r>
      <w:r>
        <w:t xml:space="preserve"> Basic translation options for non-native speakers to access </w:t>
      </w:r>
      <w:r>
        <w:t>essential services.</w:t>
      </w:r>
      <w:r>
        <w:br/>
      </w:r>
    </w:p>
    <w:p w:rsidR="00DA510E" w:rsidRPr="00CF69C7" w:rsidRDefault="005F5F93">
      <w:pPr>
        <w:rPr>
          <w:b/>
        </w:rPr>
      </w:pPr>
      <w:r w:rsidRPr="00CF69C7">
        <w:rPr>
          <w:b/>
        </w:rPr>
        <w:t>Additional Features:</w:t>
      </w:r>
      <w:r w:rsidRPr="00CF69C7">
        <w:rPr>
          <w:b/>
        </w:rPr>
        <w:br/>
      </w:r>
    </w:p>
    <w:p w:rsidR="00DA510E" w:rsidRDefault="005F5F93">
      <w:r w:rsidRPr="00CF69C7">
        <w:rPr>
          <w:b/>
        </w:rPr>
        <w:t>- House Call Scheduling:</w:t>
      </w:r>
      <w:r>
        <w:t xml:space="preserve"> Option for users to request a medical professional to visit their home for consultations.</w:t>
      </w:r>
      <w:r>
        <w:br/>
      </w:r>
    </w:p>
    <w:p w:rsidR="00DA510E" w:rsidRDefault="005F5F93">
      <w:r w:rsidRPr="00CF69C7">
        <w:rPr>
          <w:b/>
        </w:rPr>
        <w:t>- Educational Resources:</w:t>
      </w:r>
      <w:r>
        <w:t xml:space="preserve"> A section for health and wellness articles, tips, and personalized dieta</w:t>
      </w:r>
      <w:r>
        <w:t>ry advice.</w:t>
      </w:r>
      <w:r>
        <w:br/>
      </w:r>
    </w:p>
    <w:p w:rsidR="00DA510E" w:rsidRDefault="005F5F93">
      <w:pPr>
        <w:pStyle w:val="Heading1"/>
      </w:pPr>
      <w:r>
        <w:t>5. Design and User Experience</w:t>
      </w:r>
    </w:p>
    <w:p w:rsidR="00DA510E" w:rsidRPr="00CF69C7" w:rsidRDefault="005F5F93">
      <w:pPr>
        <w:rPr>
          <w:b/>
        </w:rPr>
      </w:pPr>
      <w:r w:rsidRPr="00CF69C7">
        <w:rPr>
          <w:b/>
        </w:rPr>
        <w:t>User Experience Considerations:</w:t>
      </w:r>
      <w:r w:rsidRPr="00CF69C7">
        <w:rPr>
          <w:b/>
        </w:rPr>
        <w:br/>
      </w:r>
    </w:p>
    <w:p w:rsidR="00DA510E" w:rsidRDefault="005F5F93">
      <w:r w:rsidRPr="00CF69C7">
        <w:rPr>
          <w:b/>
        </w:rPr>
        <w:t>- Navigation</w:t>
      </w:r>
      <w:r>
        <w:t>: Easy-to-use navigation for booking consultations, purchasing medications, and accessing diagnosis tools.</w:t>
      </w:r>
      <w:r>
        <w:br/>
      </w:r>
    </w:p>
    <w:p w:rsidR="00DA510E" w:rsidRDefault="005F5F93">
      <w:r w:rsidRPr="00CF69C7">
        <w:rPr>
          <w:b/>
        </w:rPr>
        <w:t>- Layout:</w:t>
      </w:r>
      <w:r>
        <w:t xml:space="preserve"> A clean and professional layout that builds trust w</w:t>
      </w:r>
      <w:r>
        <w:t>ith users.</w:t>
      </w:r>
      <w:r>
        <w:br/>
      </w:r>
    </w:p>
    <w:p w:rsidR="00DA510E" w:rsidRDefault="005F5F93">
      <w:r w:rsidRPr="00CF69C7">
        <w:rPr>
          <w:b/>
        </w:rPr>
        <w:t>- Color Scheme:</w:t>
      </w:r>
      <w:r>
        <w:t xml:space="preserve"> </w:t>
      </w:r>
      <w:proofErr w:type="gramStart"/>
      <w:r>
        <w:t>Use</w:t>
      </w:r>
      <w:r w:rsidR="00246808">
        <w:t xml:space="preserve">s </w:t>
      </w:r>
      <w:r>
        <w:t xml:space="preserve"> calming</w:t>
      </w:r>
      <w:proofErr w:type="gramEnd"/>
      <w:r>
        <w:t xml:space="preserve"> and professional colors such as blues, whites, and greens to reflect the healthcare environment.</w:t>
      </w:r>
      <w:r>
        <w:br/>
      </w:r>
    </w:p>
    <w:p w:rsidR="00DA510E" w:rsidRDefault="005F5F93">
      <w:r w:rsidRPr="00CF69C7">
        <w:rPr>
          <w:b/>
        </w:rPr>
        <w:t>- Typography</w:t>
      </w:r>
      <w:r>
        <w:t>: Clear, readable fonts such as Arial or Roboto with consistent sizing for accessibility and readability.</w:t>
      </w:r>
      <w:r>
        <w:br/>
      </w:r>
    </w:p>
    <w:p w:rsidR="00DA510E" w:rsidRDefault="005F5F93">
      <w:pPr>
        <w:pStyle w:val="Heading1"/>
      </w:pPr>
      <w:r>
        <w:lastRenderedPageBreak/>
        <w:t>6. Technical Requirements</w:t>
      </w:r>
    </w:p>
    <w:p w:rsidR="00DA510E" w:rsidRDefault="005F5F93">
      <w:r>
        <w:t>Hosting and Domain: Secure and reliable hos</w:t>
      </w:r>
      <w:r w:rsidR="00246808">
        <w:t>ting with a domain name,</w:t>
      </w:r>
      <w:r>
        <w:t xml:space="preserve"> www.</w:t>
      </w:r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r w:rsidR="00246808">
        <w:t>.co.za</w:t>
      </w:r>
      <w:r>
        <w:t>.</w:t>
      </w:r>
      <w:r>
        <w:br/>
      </w:r>
    </w:p>
    <w:p w:rsidR="00DA510E" w:rsidRDefault="005F5F93">
      <w:r w:rsidRPr="00CF69C7">
        <w:rPr>
          <w:b/>
        </w:rPr>
        <w:t>Programming Languages and Frameworks:</w:t>
      </w:r>
      <w:r>
        <w:t xml:space="preserve"> Frontend development using HTML, CSS, and JavaScript (React or Angular). Backend development usi</w:t>
      </w:r>
      <w:r>
        <w:t>ng Node.js or Django to handle user data,</w:t>
      </w:r>
      <w:r w:rsidR="00246808">
        <w:t xml:space="preserve"> and</w:t>
      </w:r>
      <w:r>
        <w:t xml:space="preserve"> booking systems</w:t>
      </w:r>
      <w:proofErr w:type="gramStart"/>
      <w:r w:rsidR="00246808">
        <w:t>.</w:t>
      </w:r>
      <w:r>
        <w:t>.</w:t>
      </w:r>
      <w:proofErr w:type="gramEnd"/>
      <w:r>
        <w:br/>
      </w:r>
    </w:p>
    <w:p w:rsidR="00DA510E" w:rsidRDefault="005F5F93">
      <w:r w:rsidRPr="00CF69C7">
        <w:rPr>
          <w:b/>
        </w:rPr>
        <w:t>Security Measures:</w:t>
      </w:r>
      <w:r>
        <w:t xml:space="preserve"> Compliance with medical and pharmaceutical licensing requirements to ensure patient privacy and data protection, including encryption of sensitive i</w:t>
      </w:r>
      <w:r>
        <w:t>nformation.</w:t>
      </w:r>
      <w:r>
        <w:br/>
      </w:r>
    </w:p>
    <w:p w:rsidR="00DA510E" w:rsidRDefault="005F5F93">
      <w:pPr>
        <w:pStyle w:val="Heading1"/>
      </w:pPr>
      <w:r>
        <w:t>7. Timeline and Milestones</w:t>
      </w:r>
    </w:p>
    <w:p w:rsidR="00DA510E" w:rsidRPr="00CF69C7" w:rsidRDefault="005F5F93">
      <w:pPr>
        <w:rPr>
          <w:b/>
        </w:rPr>
      </w:pPr>
      <w:r w:rsidRPr="00CF69C7">
        <w:rPr>
          <w:b/>
        </w:rPr>
        <w:t>Project Timeline:</w:t>
      </w:r>
      <w:r w:rsidRPr="00CF69C7">
        <w:rPr>
          <w:b/>
        </w:rPr>
        <w:br/>
      </w:r>
    </w:p>
    <w:p w:rsidR="00DA510E" w:rsidRDefault="00246808">
      <w:r>
        <w:rPr>
          <w:b/>
        </w:rPr>
        <w:t>- Week</w:t>
      </w:r>
      <w:r w:rsidR="005F5F93" w:rsidRPr="00CF69C7">
        <w:rPr>
          <w:b/>
        </w:rPr>
        <w:t xml:space="preserve"> 1:</w:t>
      </w:r>
      <w:r w:rsidR="005F5F93">
        <w:t xml:space="preserve"> Research, planning, market analysis, and wireframe development.</w:t>
      </w:r>
      <w:r w:rsidR="005F5F93">
        <w:br/>
      </w:r>
    </w:p>
    <w:p w:rsidR="00DA510E" w:rsidRDefault="00246808">
      <w:r>
        <w:rPr>
          <w:b/>
        </w:rPr>
        <w:t>- Week</w:t>
      </w:r>
      <w:r w:rsidR="005F5F93" w:rsidRPr="00CF69C7">
        <w:rPr>
          <w:b/>
        </w:rPr>
        <w:t xml:space="preserve"> 2-3:</w:t>
      </w:r>
      <w:r w:rsidR="005F5F93">
        <w:t xml:space="preserve"> Development of core features, including user accounts, diagnosis tool, and online store.</w:t>
      </w:r>
      <w:r w:rsidR="005F5F93">
        <w:br/>
      </w:r>
    </w:p>
    <w:p w:rsidR="00DA510E" w:rsidRDefault="00246808" w:rsidP="00246808">
      <w:r>
        <w:rPr>
          <w:b/>
        </w:rPr>
        <w:t>- Week</w:t>
      </w:r>
      <w:r w:rsidR="005F5F93" w:rsidRPr="00CF69C7">
        <w:rPr>
          <w:b/>
        </w:rPr>
        <w:t xml:space="preserve"> 4</w:t>
      </w:r>
      <w:r>
        <w:rPr>
          <w:b/>
        </w:rPr>
        <w:t>-6</w:t>
      </w:r>
      <w:r w:rsidR="005F5F93" w:rsidRPr="00CF69C7">
        <w:rPr>
          <w:b/>
        </w:rPr>
        <w:t>:</w:t>
      </w:r>
      <w:r w:rsidR="005F5F93">
        <w:t xml:space="preserve"> Testing</w:t>
      </w:r>
      <w:r w:rsidR="005F5F93">
        <w:t>, refinement, and user acceptance testing (UAT).</w:t>
      </w:r>
      <w:r w:rsidR="005F5F93">
        <w:br/>
      </w:r>
      <w:r w:rsidR="005F5F93">
        <w:br/>
      </w:r>
    </w:p>
    <w:p w:rsidR="00DA510E" w:rsidRPr="00CF69C7" w:rsidRDefault="005F5F93">
      <w:pPr>
        <w:rPr>
          <w:b/>
        </w:rPr>
      </w:pPr>
      <w:r w:rsidRPr="00CF69C7">
        <w:rPr>
          <w:b/>
        </w:rPr>
        <w:t>K</w:t>
      </w:r>
      <w:r w:rsidRPr="00CF69C7">
        <w:rPr>
          <w:b/>
        </w:rPr>
        <w:t>ey Milestones:</w:t>
      </w:r>
      <w:r w:rsidRPr="00CF69C7">
        <w:rPr>
          <w:b/>
        </w:rPr>
        <w:br/>
      </w:r>
    </w:p>
    <w:p w:rsidR="00DA510E" w:rsidRDefault="005F5F93">
      <w:r>
        <w:t>- Completion of wireframes and user interface designs.</w:t>
      </w:r>
      <w:r>
        <w:br/>
      </w:r>
    </w:p>
    <w:p w:rsidR="00DA510E" w:rsidRDefault="005F5F93" w:rsidP="00246808">
      <w:r>
        <w:t xml:space="preserve">- Development of diagnosis tool, prescription management system, and online </w:t>
      </w:r>
      <w:r>
        <w:t>store.</w:t>
      </w:r>
      <w:r>
        <w:br/>
      </w:r>
      <w:r>
        <w:br/>
      </w:r>
    </w:p>
    <w:p w:rsidR="00DA510E" w:rsidRDefault="005F5F93">
      <w:pPr>
        <w:pStyle w:val="Heading1"/>
      </w:pPr>
      <w:r>
        <w:t>8</w:t>
      </w:r>
      <w:r>
        <w:t>. Budget</w:t>
      </w:r>
    </w:p>
    <w:p w:rsidR="00C846A3" w:rsidRDefault="00C846A3" w:rsidP="00C846A3">
      <w:pPr>
        <w:rPr>
          <w:rFonts w:ascii="Times New Roman" w:hAnsi="Times New Roman"/>
        </w:rPr>
      </w:pPr>
      <w:r>
        <w:rPr>
          <w:rStyle w:val="Strong"/>
          <w:b w:val="0"/>
          <w:bCs w:val="0"/>
        </w:rPr>
        <w:t xml:space="preserve">Estimated </w:t>
      </w:r>
      <w:r>
        <w:rPr>
          <w:rStyle w:val="Strong"/>
          <w:b w:val="0"/>
          <w:bCs w:val="0"/>
        </w:rPr>
        <w:t>Total Project Costs for the first year</w:t>
      </w:r>
    </w:p>
    <w:p w:rsidR="00C846A3" w:rsidRDefault="00C846A3" w:rsidP="00C846A3">
      <w:r>
        <w:rPr>
          <w:rStyle w:val="Strong"/>
        </w:rPr>
        <w:t>Development Costs:</w:t>
      </w:r>
      <w:r w:rsidR="00EE77A8">
        <w:t xml:space="preserve"> R6000</w:t>
      </w:r>
    </w:p>
    <w:p w:rsidR="00C846A3" w:rsidRDefault="00C846A3" w:rsidP="00C846A3">
      <w:r>
        <w:rPr>
          <w:rStyle w:val="Strong"/>
        </w:rPr>
        <w:lastRenderedPageBreak/>
        <w:t>Licensing and Compliance:</w:t>
      </w:r>
      <w:r w:rsidR="009B65B1">
        <w:t xml:space="preserve"> R400</w:t>
      </w:r>
    </w:p>
    <w:p w:rsidR="00C846A3" w:rsidRDefault="00C846A3" w:rsidP="00C846A3">
      <w:r>
        <w:rPr>
          <w:rStyle w:val="Strong"/>
        </w:rPr>
        <w:t>Hosting and Domain (Annual):</w:t>
      </w:r>
      <w:r w:rsidR="009B65B1">
        <w:t xml:space="preserve"> R1</w:t>
      </w:r>
      <w:proofErr w:type="gramStart"/>
      <w:r w:rsidR="009B65B1">
        <w:t>,650</w:t>
      </w:r>
      <w:proofErr w:type="gramEnd"/>
    </w:p>
    <w:p w:rsidR="00C846A3" w:rsidRDefault="00C846A3" w:rsidP="00C846A3">
      <w:r>
        <w:rPr>
          <w:rStyle w:val="Strong"/>
        </w:rPr>
        <w:t>Marketing and Promotion:</w:t>
      </w:r>
      <w:r w:rsidR="009B65B1">
        <w:t xml:space="preserve"> R10</w:t>
      </w:r>
      <w:proofErr w:type="gramStart"/>
      <w:r w:rsidR="00246808">
        <w:t>,000</w:t>
      </w:r>
      <w:proofErr w:type="gramEnd"/>
    </w:p>
    <w:p w:rsidR="00C846A3" w:rsidRDefault="00C846A3" w:rsidP="00C846A3">
      <w:r>
        <w:rPr>
          <w:rStyle w:val="Strong"/>
        </w:rPr>
        <w:t>Ongoing Maintenance (Annual):</w:t>
      </w:r>
      <w:r w:rsidR="009B65B1">
        <w:t xml:space="preserve"> R10</w:t>
      </w:r>
      <w:proofErr w:type="gramStart"/>
      <w:r w:rsidR="009B65B1">
        <w:t>,000</w:t>
      </w:r>
      <w:proofErr w:type="gramEnd"/>
      <w:r w:rsidR="009B65B1">
        <w:t xml:space="preserve"> </w:t>
      </w:r>
    </w:p>
    <w:p w:rsidR="00EE77A8" w:rsidRDefault="00C846A3" w:rsidP="00C846A3">
      <w:pPr>
        <w:rPr>
          <w:rStyle w:val="Strong"/>
        </w:rPr>
      </w:pPr>
      <w:r>
        <w:rPr>
          <w:rStyle w:val="Strong"/>
        </w:rPr>
        <w:t>Grand Total Estimate:</w:t>
      </w:r>
      <w:r>
        <w:t xml:space="preserve"> </w:t>
      </w:r>
      <w:r w:rsidR="009B65B1">
        <w:rPr>
          <w:rStyle w:val="Strong"/>
        </w:rPr>
        <w:t>R</w:t>
      </w:r>
      <w:r w:rsidR="00EE77A8">
        <w:rPr>
          <w:rStyle w:val="Strong"/>
        </w:rPr>
        <w:t xml:space="preserve"> </w:t>
      </w:r>
      <w:r w:rsidR="009B65B1">
        <w:rPr>
          <w:rStyle w:val="Strong"/>
        </w:rPr>
        <w:t>28050.00</w:t>
      </w:r>
    </w:p>
    <w:p w:rsidR="009B65B1" w:rsidRDefault="009B65B1" w:rsidP="00C846A3">
      <w:pPr>
        <w:rPr>
          <w:rStyle w:val="Strong"/>
        </w:rPr>
      </w:pPr>
      <w:proofErr w:type="gramStart"/>
      <w:r>
        <w:rPr>
          <w:rStyle w:val="Strong"/>
        </w:rPr>
        <w:t>Budget :</w:t>
      </w:r>
      <w:proofErr w:type="gramEnd"/>
      <w:r>
        <w:rPr>
          <w:rStyle w:val="Strong"/>
        </w:rPr>
        <w:t xml:space="preserve"> R30 000.00</w:t>
      </w:r>
    </w:p>
    <w:p w:rsidR="00C846A3" w:rsidRDefault="00C846A3" w:rsidP="00C846A3">
      <w:r>
        <w:t xml:space="preserve">This estimate reflects the initial development, licensing, marketing, and maintenance costs for the </w:t>
      </w:r>
      <w:proofErr w:type="spellStart"/>
      <w:r w:rsidRPr="00C846A3">
        <w:rPr>
          <w:rFonts w:ascii="Bahnschrift" w:hAnsi="Bahnschrift"/>
          <w:color w:val="4F81BD" w:themeColor="accent1"/>
          <w:u w:val="single" w:color="FF0000"/>
        </w:rPr>
        <w:t>MediCure</w:t>
      </w:r>
      <w:proofErr w:type="spellEnd"/>
      <w:r>
        <w:t xml:space="preserve"> website</w:t>
      </w:r>
    </w:p>
    <w:sdt>
      <w:sdtPr>
        <w:id w:val="-487017655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color w:val="auto"/>
          <w:sz w:val="22"/>
          <w:szCs w:val="22"/>
        </w:rPr>
      </w:sdtEndPr>
      <w:sdtContent>
        <w:p w:rsidR="00020BEA" w:rsidRDefault="00020BEA">
          <w:pPr>
            <w:pStyle w:val="Heading1"/>
          </w:pPr>
          <w:r>
            <w:t>9. References</w:t>
          </w:r>
        </w:p>
        <w:sdt>
          <w:sdtPr>
            <w:id w:val="-573587230"/>
            <w:bibliography/>
          </w:sdtPr>
          <w:sdtContent>
            <w:p w:rsidR="00246808" w:rsidRDefault="00020BEA" w:rsidP="0024680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46808">
                <w:rPr>
                  <w:noProof/>
                </w:rPr>
                <w:t xml:space="preserve">Bujnowska-Fedak, M. M. &amp;. W. P., 2020. </w:t>
              </w:r>
              <w:r w:rsidR="00246808">
                <w:rPr>
                  <w:i/>
                  <w:iCs/>
                  <w:noProof/>
                </w:rPr>
                <w:t xml:space="preserve">International journal of environmental research and public health. </w:t>
              </w:r>
              <w:r w:rsidR="00246808">
                <w:rPr>
                  <w:noProof/>
                </w:rPr>
                <w:t xml:space="preserve">[Online] </w:t>
              </w:r>
              <w:r w:rsidR="00246808">
                <w:rPr>
                  <w:noProof/>
                </w:rPr>
                <w:br/>
                <w:t xml:space="preserve">Available at: </w:t>
              </w:r>
              <w:r w:rsidR="00246808">
                <w:rPr>
                  <w:noProof/>
                  <w:u w:val="single"/>
                </w:rPr>
                <w:t>https://doi.org/10.3390/ijerph17030880</w:t>
              </w:r>
              <w:r w:rsidR="00246808">
                <w:rPr>
                  <w:noProof/>
                </w:rPr>
                <w:br/>
                <w:t>[Accessed 15 March 2025].</w:t>
              </w:r>
            </w:p>
            <w:p w:rsidR="00246808" w:rsidRDefault="00246808" w:rsidP="0024680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Gorton, S., 2025. </w:t>
              </w:r>
              <w:r>
                <w:rPr>
                  <w:i/>
                  <w:iCs/>
                  <w:noProof/>
                </w:rPr>
                <w:t xml:space="preserve">Syte.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https://www.syte.co.za/digital-marketing-costs-south-africa-insyte-blog/</w:t>
              </w:r>
              <w:r>
                <w:rPr>
                  <w:noProof/>
                </w:rPr>
                <w:br/>
                <w:t>[Accessed 16 March 2025].</w:t>
              </w:r>
            </w:p>
            <w:p w:rsidR="00246808" w:rsidRDefault="00246808" w:rsidP="0024680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Iakovakis, D., 2025. </w:t>
              </w:r>
              <w:r>
                <w:rPr>
                  <w:i/>
                  <w:iCs/>
                  <w:noProof/>
                </w:rPr>
                <w:t xml:space="preserve">Dime Society.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https://dimesociety.org/how-digital-measures-are-redefining-quality-of-life-in-parkinsons-care-with-dimes-v3-framework/</w:t>
              </w:r>
              <w:r>
                <w:rPr>
                  <w:noProof/>
                </w:rPr>
                <w:br/>
                <w:t>[Accessed 14 March 2025].</w:t>
              </w:r>
            </w:p>
            <w:p w:rsidR="00246808" w:rsidRDefault="00246808" w:rsidP="0024680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SAHPRA, 2023. </w:t>
              </w:r>
              <w:r>
                <w:rPr>
                  <w:i/>
                  <w:iCs/>
                  <w:noProof/>
                </w:rPr>
                <w:t xml:space="preserve">SAHPRA.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https://www.regdesk.co/sahpra-guidelines-on-establishment-licensing-costs-documents-and-cooperation/</w:t>
              </w:r>
              <w:r>
                <w:rPr>
                  <w:noProof/>
                </w:rPr>
                <w:br/>
                <w:t>[Accessed 16 March 2025].</w:t>
              </w:r>
            </w:p>
            <w:p w:rsidR="00020BEA" w:rsidRDefault="00020BEA" w:rsidP="002468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A510E" w:rsidRDefault="005F5F93">
      <w:r>
        <w:br/>
      </w:r>
    </w:p>
    <w:sectPr w:rsidR="00DA5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534526"/>
    <w:multiLevelType w:val="multilevel"/>
    <w:tmpl w:val="E84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BEA"/>
    <w:rsid w:val="00034616"/>
    <w:rsid w:val="0006063C"/>
    <w:rsid w:val="0015074B"/>
    <w:rsid w:val="00246808"/>
    <w:rsid w:val="0029639D"/>
    <w:rsid w:val="00326F90"/>
    <w:rsid w:val="005F5F93"/>
    <w:rsid w:val="009B65B1"/>
    <w:rsid w:val="00AA1D8D"/>
    <w:rsid w:val="00B47730"/>
    <w:rsid w:val="00C846A3"/>
    <w:rsid w:val="00CB0664"/>
    <w:rsid w:val="00CF69C7"/>
    <w:rsid w:val="00DA510E"/>
    <w:rsid w:val="00EE77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FB018"/>
  <w14:defaultImageDpi w14:val="300"/>
  <w15:docId w15:val="{8477B72A-795D-44B6-9CC9-0C660BF0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C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69C7"/>
    <w:rPr>
      <w:rFonts w:ascii="Arial" w:eastAsiaTheme="majorEastAsia" w:hAnsi="Arial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69C7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20BEA"/>
  </w:style>
  <w:style w:type="paragraph" w:styleId="NormalWeb">
    <w:name w:val="Normal (Web)"/>
    <w:basedOn w:val="Normal"/>
    <w:uiPriority w:val="99"/>
    <w:semiHidden/>
    <w:unhideWhenUsed/>
    <w:rsid w:val="00C8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Dim25</b:Tag>
    <b:SourceType>InternetSite</b:SourceType>
    <b:Guid>{2B5C7AC0-1FBA-4D62-A140-5AE573202D49}</b:Guid>
    <b:Title>Dime Society</b:Title>
    <b:Year>2025</b:Year>
    <b:Author>
      <b:Author>
        <b:NameList>
          <b:Person>
            <b:Last>Iakovakis</b:Last>
            <b:First>Dimitris</b:First>
          </b:Person>
        </b:NameList>
      </b:Author>
    </b:Author>
    <b:YearAccessed>2025</b:YearAccessed>
    <b:MonthAccessed>March</b:MonthAccessed>
    <b:DayAccessed>14</b:DayAccessed>
    <b:URL>https://dimesociety.org/how-digital-measures-are-redefining-quality-of-life-in-parkinsons-care-with-dimes-v3-framework/</b:URL>
    <b:RefOrder>1</b:RefOrder>
  </b:Source>
  <b:Source>
    <b:Tag>Buj20</b:Tag>
    <b:SourceType>InternetSite</b:SourceType>
    <b:Guid>{FE7CE39F-454F-415A-BA76-B2EC9ED478F9}</b:Guid>
    <b:Title> International journal of environmental research and public health</b:Title>
    <b:Year>2020</b:Year>
    <b:YearAccessed>2025</b:YearAccessed>
    <b:MonthAccessed>March</b:MonthAccessed>
    <b:DayAccessed>15</b:DayAccessed>
    <b:URL>https://doi.org/10.3390/ijerph17030880</b:URL>
    <b:Author>
      <b:Author>
        <b:NameList>
          <b:Person>
            <b:Last>Bujnowska-Fedak</b:Last>
            <b:First>M.</b:First>
            <b:Middle>M., &amp; Węgierek, P</b:Middle>
          </b:Person>
        </b:NameList>
      </b:Author>
    </b:Author>
    <b:RefOrder>2</b:RefOrder>
  </b:Source>
  <b:Source>
    <b:Tag>SAH23</b:Tag>
    <b:SourceType>InternetSite</b:SourceType>
    <b:Guid>{992C4149-D2CE-4865-85A9-7D47FECD4E1E}</b:Guid>
    <b:Author>
      <b:Author>
        <b:NameList>
          <b:Person>
            <b:Last>SAHPRA</b:Last>
          </b:Person>
        </b:NameList>
      </b:Author>
    </b:Author>
    <b:Title>SAHPRA</b:Title>
    <b:Year>2023</b:Year>
    <b:YearAccessed>2025</b:YearAccessed>
    <b:MonthAccessed>March</b:MonthAccessed>
    <b:DayAccessed>16</b:DayAccessed>
    <b:URL>https://www.regdesk.co/sahpra-guidelines-on-establishment-licensing-costs-documents-and-cooperation/</b:URL>
    <b:RefOrder>3</b:RefOrder>
  </b:Source>
  <b:Source>
    <b:Tag>Set25</b:Tag>
    <b:SourceType>InternetSite</b:SourceType>
    <b:Guid>{62AFC788-9AB3-40D3-8F28-5E2CC2B6B76F}</b:Guid>
    <b:Author>
      <b:Author>
        <b:NameList>
          <b:Person>
            <b:Last>Gorton</b:Last>
            <b:First>Seth</b:First>
          </b:Person>
        </b:NameList>
      </b:Author>
    </b:Author>
    <b:Title>Syte</b:Title>
    <b:Year>2025</b:Year>
    <b:YearAccessed>2025</b:YearAccessed>
    <b:MonthAccessed>March</b:MonthAccessed>
    <b:DayAccessed>16</b:DayAccessed>
    <b:URL>https://www.syte.co.za/digital-marketing-costs-south-africa-insyte-blog/</b:URL>
    <b:RefOrder>4</b:RefOrder>
  </b:Source>
</b:Sources>
</file>

<file path=customXml/itemProps1.xml><?xml version="1.0" encoding="utf-8"?>
<ds:datastoreItem xmlns:ds="http://schemas.openxmlformats.org/officeDocument/2006/customXml" ds:itemID="{4FA5861B-4409-4422-B09B-8789DBD5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D.W. Mmako</cp:lastModifiedBy>
  <cp:revision>2</cp:revision>
  <cp:lastPrinted>2025-03-16T16:30:00Z</cp:lastPrinted>
  <dcterms:created xsi:type="dcterms:W3CDTF">2013-12-23T23:15:00Z</dcterms:created>
  <dcterms:modified xsi:type="dcterms:W3CDTF">2025-03-16T19:33:00Z</dcterms:modified>
  <cp:category/>
</cp:coreProperties>
</file>