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2"/>
        <w:pBdr/>
        <w:ind w:left="0"/>
        <w:rPr>
          <w:rFonts w:hint="eastAsia"/>
        </w:rPr>
      </w:pPr>
      <w:r>
        <w:rPr>
          <w:i w:val="0"/>
          <w:strike w:val="0"/>
          <w:spacing w:val="0"/>
          <w:u w:val="none"/>
        </w:rPr>
        <w:t>Gyre</w:t>
      </w:r>
      <w:r>
        <w:rPr>
          <w:rFonts w:hint="eastAsia"/>
          <w:i w:val="0"/>
          <w:strike w:val="0"/>
          <w:spacing w:val="0"/>
          <w:u w:val="none"/>
        </w:rPr>
        <w:t xml:space="preserve"> </w:t>
      </w:r>
      <w:r>
        <w:rPr>
          <w:rFonts w:hint="eastAsia"/>
        </w:rPr>
        <w:t>ESOP管理系统需求文档0614</w:t>
      </w:r>
    </w:p>
    <w:p>
      <w:pPr>
        <w:pStyle w:val="000002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background</w:t>
      </w:r>
    </w:p>
    <w:p>
      <w:pPr>
        <w:pStyle w:val="000003"/>
        <w:pBdr/>
        <w:ind w:left="0"/>
        <w:rPr/>
      </w:pPr>
      <w:r>
        <w:rPr/>
        <w:t>数据来源</w:t>
      </w:r>
    </w:p>
    <w:p>
      <w:pPr>
        <w:pStyle w:val="000001"/>
        <w:pBdr>
          <w:bottom/>
        </w:pBdr>
        <w:ind w:left="0"/>
        <w:rPr>
          <w:rFonts w:hint="eastAsia"/>
          <w:sz w:val="22"/>
        </w:rPr>
      </w:pPr>
      <w:r>
        <w:rPr>
          <w:rFonts w:hint="eastAsia"/>
          <w:i w:val="0"/>
          <w:strike w:val="0"/>
          <w:spacing w:val="0"/>
          <w:u w:val="none"/>
        </w:rPr>
        <w:t>《</w:t>
      </w:r>
      <w:r>
        <w:rPr>
          <w:i w:val="0"/>
          <w:strike w:val="0"/>
          <w:spacing w:val="0"/>
          <w:u w:val="none"/>
        </w:rPr>
        <w:t>!!Gyre Cap Table 05.31.26【新】.xlsx</w:t>
      </w:r>
      <w:r>
        <w:rPr>
          <w:rFonts w:hint="eastAsia"/>
          <w:i w:val="0"/>
          <w:strike w:val="0"/>
          <w:spacing w:val="0"/>
          <w:u w:val="none"/>
        </w:rPr>
        <w:t>》是本次主要生成的表格，其主要的数据来源见下方表格</w:t>
      </w:r>
    </w:p>
    <w:tbl>
      <w:tblPr>
        <w:tblStyle w:val="000015"/>
        <w:tblInd w:w="-11" w:type="dxa"/>
        <w:tblLayout w:type="fixed"/>
        <w:tblLook w:firstRow="1" w:lastRow="0" w:firstColumn="1" w:lastColumn="0" w:noHBand="0" w:noVBand="1"/>
      </w:tblPr>
      <w:tblGrid>
        <w:gridCol w:w="1245"/>
        <w:gridCol w:w="1993"/>
        <w:gridCol w:w="2517"/>
        <w:gridCol w:w="2542"/>
      </w:tblGrid>
      <w:tr>
        <w:trPr>
          <w:wBefore/>
          <w:trHeight/>
        </w:trPr>
        <w:tc>
          <w:tcPr>
            <w:tcW w:w="1245" w:type="dxa"/>
          </w:tcPr>
          <w:p>
            <w:pPr>
              <w:numPr/>
              <w:pBdr/>
              <w:ind/>
              <w:rPr>
                <w:rFonts w:hint="eastAsia"/>
                <w:b w:val="1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b w:val="1"/>
                <w:color w:val="333333"/>
                <w:sz w:val="20"/>
                <w:shd w:val="clear" w:color="auto" w:fill="auto"/>
              </w:rPr>
              <w:t>表格来源</w:t>
            </w:r>
          </w:p>
        </w:tc>
        <w:tc>
          <w:tcPr>
            <w:tcW w:w="1993" w:type="dxa"/>
          </w:tcPr>
          <w:p>
            <w:pPr>
              <w:numPr/>
              <w:pBdr/>
              <w:ind/>
              <w:rPr>
                <w:rFonts w:hint="eastAsia"/>
                <w:b w:val="1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b w:val="1"/>
                <w:color w:val="333333"/>
                <w:sz w:val="20"/>
                <w:shd w:val="clear" w:color="auto" w:fill="auto"/>
              </w:rPr>
              <w:t>数据表名</w:t>
            </w:r>
          </w:p>
        </w:tc>
        <w:tc>
          <w:tcPr>
            <w:tcW w:w="2517" w:type="dxa"/>
          </w:tcPr>
          <w:p>
            <w:pPr>
              <w:numPr/>
              <w:pBdr/>
              <w:ind/>
              <w:rPr>
                <w:rFonts w:hint="eastAsia"/>
                <w:b w:val="1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b w:val="1"/>
                <w:color w:val="333333"/>
                <w:sz w:val="20"/>
                <w:shd w:val="clear" w:color="auto" w:fill="auto"/>
              </w:rPr>
              <w:t>数据说明</w:t>
            </w:r>
          </w:p>
        </w:tc>
        <w:tc>
          <w:tcPr>
            <w:tcW w:w="2542" w:type="dxa"/>
          </w:tcPr>
          <w:p>
            <w:pPr>
              <w:numPr/>
              <w:pBdr/>
              <w:ind/>
              <w:rPr>
                <w:rFonts w:hint="eastAsia"/>
                <w:b w:val="1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b w:val="1"/>
                <w:color w:val="333333"/>
                <w:sz w:val="20"/>
                <w:shd w:val="clear" w:color="auto" w:fill="auto"/>
              </w:rPr>
              <w:t>需要哪些数据</w:t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shareworks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</w:p>
        </w:tc>
        <w:tc>
          <w:tcPr>
            <w:tcW w:w="1993" w:type="dxa"/>
          </w:tcPr>
          <w:p>
            <w:pPr>
              <w:numPr/>
              <w:pBdr>
                <w:bottom/>
              </w:pBdr>
              <w:ind/>
              <w:rPr>
                <w:rFonts w:ascii="SF Pro Text" w:hAnsi="SF Pro Text" w:eastAsia="SF Pro Text" w:cs="SF Pro Text"/>
                <w:b w:val="0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Control_Books_Detail_Data.xlsx</w:t>
            </w:r>
          </w:p>
        </w:tc>
        <w:tc>
          <w:tcPr>
            <w:tcW w:w="2517" w:type="dxa"/>
          </w:tcPr>
          <w:p>
            <w:pPr>
              <w:numPr/>
              <w:pBdr/>
              <w:ind w:left="0"/>
              <w:rPr>
                <w:rFonts w:hint="eastAsia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SF Pro Text" w:hAnsi="SF Pro Text" w:eastAsia="SF Pro Text" w:cs="SF Pro Text"/>
                <w:i w:val="0"/>
                <w:strike w:val="0"/>
                <w:color w:val="1A1A1A"/>
                <w:spacing w:val="0"/>
                <w:sz w:val="20"/>
                <w:u w:val="none"/>
                <w:shd w:val="clear" w:color="auto" w:fill="FFFFFF"/>
              </w:rPr>
              <w:t>Control Book是公司用于</w:t>
            </w:r>
            <w:r>
              <w:rPr>
                <w:rFonts w:ascii="SF Pro Text" w:hAnsi="SF Pro Text" w:eastAsia="SF Pro Text" w:cs="SF Pro Text"/>
                <w:b w:val="1"/>
                <w:i w:val="0"/>
                <w:strike w:val="0"/>
                <w:color w:val="1A1A1A"/>
                <w:spacing w:val="0"/>
                <w:sz w:val="20"/>
                <w:u w:val="none"/>
              </w:rPr>
              <w:t>登记和追踪每一笔股份变动</w:t>
            </w:r>
            <w:r>
              <w:rPr>
                <w:rFonts w:ascii="SF Pro Text" w:hAnsi="SF Pro Text" w:eastAsia="SF Pro Text" w:cs="SF Pro Text"/>
                <w:i w:val="0"/>
                <w:strike w:val="0"/>
                <w:color w:val="1A1A1A"/>
                <w:spacing w:val="0"/>
                <w:sz w:val="20"/>
                <w:u w:val="none"/>
                <w:shd w:val="clear" w:color="auto" w:fill="FFFFFF"/>
              </w:rPr>
              <w:t>的</w:t>
            </w:r>
            <w:r>
              <w:rPr>
                <w:rFonts w:ascii="SF Pro Text" w:hAnsi="SF Pro Text" w:eastAsia="SF Pro Text" w:cs="SF Pro Text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核心台账</w:t>
            </w:r>
            <w:r>
              <w:rPr>
                <w:rFonts w:hint="eastAsia" w:ascii="SF Pro Text" w:hAnsi="SF Pro Text" w:eastAsia="SF Pro Text" w:cs="SF Pro Text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，记录如</w:t>
            </w:r>
            <w:r>
              <w:rPr>
                <w:rFonts w:ascii="SF Pro Text" w:hAnsi="SF Pro Text" w:eastAsia="SF Pro Text" w:cs="SF Pro Text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发行、行权、回购、注销、转让、拆股调整等</w:t>
            </w:r>
            <w:r>
              <w:rPr>
                <w:rFonts w:hint="eastAsia" w:ascii="SF Pro Text" w:hAnsi="SF Pro Text" w:eastAsia="SF Pro Text" w:cs="SF Pro Text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行为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</w:p>
        </w:tc>
        <w:tc>
          <w:tcPr>
            <w:tcW w:w="2542" w:type="dxa"/>
          </w:tcPr>
          <w:p>
            <w:pPr>
              <w:numPr>
                <w:ilvl w:val="0"/>
                <w:numId w:val="2"/>
              </w:numPr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新增条数，计算期末发行股票数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计算25年计划转给futu数量，按照特定的备注进行加总</w:t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shareworks</w:t>
            </w:r>
          </w:p>
        </w:tc>
        <w:tc>
          <w:tcPr>
            <w:tcW w:w="1993" w:type="dxa"/>
          </w:tcPr>
          <w:p>
            <w:pPr>
              <w:numPr/>
              <w:pBdr>
                <w:bottom/>
              </w:pBdr>
              <w:ind/>
              <w:rPr>
                <w:rFonts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auto"/>
              </w:rPr>
            </w:pPr>
            <w:r>
              <w:rPr>
                <w:i w:val="0"/>
                <w:strike w:val="0"/>
                <w:spacing w:val="0"/>
                <w:sz w:val="20"/>
                <w:u w:val="none"/>
              </w:rPr>
              <w:t>Gyre_Option_Plans_Summary_SL.xlsx</w:t>
            </w:r>
          </w:p>
        </w:tc>
        <w:tc>
          <w:tcPr>
            <w:tcW w:w="2517" w:type="dxa"/>
          </w:tcPr>
          <w:p>
            <w:pPr>
              <w:numPr/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记录</w:t>
            </w:r>
            <w:r>
              <w:rPr>
                <w:i w:val="0"/>
                <w:strike w:val="0"/>
                <w:spacing w:val="0"/>
                <w:sz w:val="20"/>
                <w:u w:val="none"/>
              </w:rPr>
              <w:t>Gyre</w:t>
            </w:r>
            <w:r>
              <w:rPr>
                <w:rFonts w:hint="eastAsia"/>
                <w:i w:val="0"/>
                <w:strike w:val="0"/>
                <w:spacing w:val="0"/>
                <w:sz w:val="20"/>
                <w:u w:val="none"/>
              </w:rPr>
              <w:t>发行的计划纬度的统计值</w:t>
            </w:r>
          </w:p>
        </w:tc>
        <w:tc>
          <w:tcPr>
            <w:tcW w:w="2542" w:type="dxa"/>
          </w:tcPr>
          <w:p>
            <w:pPr>
              <w:numPr/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获取当前配置表中需要track的6个计划（后续会新增2026年计划）</w:t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shareworks</w:t>
            </w:r>
          </w:p>
        </w:tc>
        <w:tc>
          <w:tcPr>
            <w:tcW w:w="1993" w:type="dxa"/>
          </w:tcPr>
          <w:p>
            <w:pPr>
              <w:numPr/>
              <w:pBdr>
                <w:bottom/>
              </w:pBdr>
              <w:ind/>
              <w:rPr>
                <w:rFonts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FFF3EB"/>
              </w:rPr>
            </w:pPr>
            <w:r>
              <w:rPr>
                <w:i w:val="0"/>
                <w:strike w:val="0"/>
                <w:spacing w:val="0"/>
                <w:u w:val="none"/>
              </w:rPr>
              <w:t>Options_OS_Detail_by_Plan</w:t>
            </w:r>
          </w:p>
        </w:tc>
        <w:tc>
          <w:tcPr>
            <w:tcW w:w="2517" w:type="dxa"/>
          </w:tcPr>
          <w:p>
            <w:pPr>
              <w:numPr/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4个在shareworks按照员工的明细数据</w:t>
            </w:r>
          </w:p>
        </w:tc>
        <w:tc>
          <w:tcPr>
            <w:tcW w:w="2542" w:type="dxa"/>
          </w:tcPr>
          <w:p>
            <w:pPr>
              <w:numPr/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提供就更新，明细需要，如何check</w:t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shareworks</w:t>
            </w:r>
          </w:p>
        </w:tc>
        <w:tc>
          <w:tcPr>
            <w:tcW w:w="1993" w:type="dxa"/>
          </w:tcPr>
          <w:p>
            <w:pPr>
              <w:pStyle w:val="000001"/>
              <w:pBdr>
                <w:bottom/>
              </w:pBdr>
              <w:ind w:left="0"/>
              <w:rPr>
                <w:shd w:val="clear" w:color="auto" w:fill="FFF3EB"/>
              </w:rPr>
            </w:pPr>
            <w:r>
              <w:rPr>
                <w:shd w:val="clear" w:color="auto" w:fill="FFF3EB"/>
              </w:rPr>
              <w:t>Share pools</w:t>
            </w:r>
          </w:p>
        </w:tc>
        <w:tc>
          <w:tcPr>
            <w:tcW w:w="2517" w:type="dxa"/>
          </w:tcPr>
          <w:p>
            <w:pPr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</w:p>
        </w:tc>
        <w:tc>
          <w:tcPr>
            <w:tcW w:w="2542" w:type="dxa"/>
          </w:tcPr>
          <w:p>
            <w:pPr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futu</w:t>
            </w:r>
          </w:p>
        </w:tc>
        <w:tc>
          <w:tcPr>
            <w:tcW w:w="1993" w:type="dxa"/>
          </w:tcPr>
          <w:p>
            <w:pPr>
              <w:numPr/>
              <w:pBdr>
                <w:bottom/>
              </w:pBdr>
              <w:ind/>
              <w:rPr>
                <w:rFonts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FFF3EB"/>
              </w:rPr>
            </w:pPr>
            <w:r>
              <w:rPr>
                <w:rFonts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FFF3EB"/>
              </w:rPr>
              <w:t>Futu BCI Exercises to Date</w:t>
            </w:r>
            <w:r>
              <w:rPr>
                <w:rFonts w:hint="eastAsia"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FFF3EB"/>
              </w:rPr>
              <w:t>（未提供）</w:t>
            </w:r>
          </w:p>
        </w:tc>
        <w:tc>
          <w:tcPr>
            <w:tcW w:w="2517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23年员工行权的明细</w:t>
            </w:r>
          </w:p>
        </w:tc>
        <w:tc>
          <w:tcPr>
            <w:tcW w:w="2542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23年计划员工行权的总数（如果25年也行权呢）</w:t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futu</w:t>
            </w:r>
          </w:p>
        </w:tc>
        <w:tc>
          <w:tcPr>
            <w:tcW w:w="1993" w:type="dxa"/>
          </w:tcPr>
          <w:p>
            <w:pPr>
              <w:numPr/>
              <w:pBdr>
                <w:bottom/>
              </w:pBdr>
              <w:ind/>
              <w:rPr>
                <w:rFonts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FFF3EB"/>
              </w:rPr>
            </w:pPr>
            <w:r>
              <w:rPr>
                <w:rFonts w:hint="eastAsia"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FFF3EB"/>
              </w:rPr>
              <w:t>futu计划员工明细（未提供）</w:t>
            </w:r>
          </w:p>
        </w:tc>
        <w:tc>
          <w:tcPr>
            <w:tcW w:w="2517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</w:p>
        </w:tc>
        <w:tc>
          <w:tcPr>
            <w:tcW w:w="2542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23年计划、25年计划</w:t>
            </w:r>
          </w:p>
        </w:tc>
      </w:tr>
      <w:tr>
        <w:trPr>
          <w:wBefore/>
          <w:trHeight/>
        </w:trPr>
        <w:tc>
          <w:tcPr>
            <w:tcW w:w="1245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futu</w:t>
            </w:r>
          </w:p>
        </w:tc>
        <w:tc>
          <w:tcPr>
            <w:tcW w:w="1993" w:type="dxa"/>
          </w:tcPr>
          <w:p>
            <w:pPr>
              <w:numPr/>
              <w:pBdr>
                <w:bottom/>
              </w:pBdr>
              <w:ind/>
              <w:rPr>
                <w:rFonts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FFF3EB"/>
              </w:rPr>
            </w:pPr>
            <w:r>
              <w:rPr>
                <w:rFonts w:hint="eastAsia" w:ascii="SF Pro Text" w:hAnsi="SF Pro Text" w:eastAsia="SF Pro Text" w:cs="SF Pro Text"/>
                <w:i w:val="0"/>
                <w:strike w:val="0"/>
                <w:color w:val="333333"/>
                <w:spacing w:val="0"/>
                <w:sz w:val="20"/>
                <w:u w:val="none"/>
                <w:shd w:val="clear" w:color="auto" w:fill="FFF3EB"/>
              </w:rPr>
              <w:t>futu计划汇总（未提供）</w:t>
            </w:r>
          </w:p>
        </w:tc>
        <w:tc>
          <w:tcPr>
            <w:tcW w:w="2517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</w:p>
        </w:tc>
        <w:tc>
          <w:tcPr>
            <w:tcW w:w="2542" w:type="dxa"/>
          </w:tcPr>
          <w:p>
            <w:pPr>
              <w:numPr/>
              <w:pBdr/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25年计划每个月取消总数、转股总数</w:t>
            </w:r>
          </w:p>
          <w:p>
            <w:pPr>
              <w:numPr/>
              <w:pBdr>
                <w:bottom/>
              </w:pBdr>
              <w:ind/>
              <w:rPr>
                <w:rFonts w:hint="eastAsia"/>
                <w:color w:val="333333"/>
                <w:sz w:val="20"/>
                <w:shd w:val="clear" w:color="auto" w:fill="auto"/>
              </w:rPr>
            </w:pPr>
            <w:r>
              <w:rPr>
                <w:rFonts w:hint="eastAsia"/>
                <w:color w:val="333333"/>
                <w:sz w:val="20"/>
                <w:shd w:val="clear" w:color="auto" w:fill="auto"/>
              </w:rPr>
              <w:t>23年计划层面不变全部归属，减持+出售</w:t>
            </w:r>
          </w:p>
        </w:tc>
      </w:tr>
    </w:tbl>
    <w:p>
      <w:pPr>
        <w:pStyle w:val="000003"/>
        <w:pBdr>
          <w:bottom/>
        </w:pBdr>
        <w:ind/>
        <w:rPr/>
      </w:pPr>
      <w:r>
        <w:rPr/>
        <w:t>计划情况</w:t>
      </w:r>
    </w:p>
    <w:tbl>
      <w:tblPr>
        <w:tblStyle w:val="000015"/>
        <w:tblInd w:w="-17" w:type="dxa"/>
        <w:tblLayout w:type="fixed"/>
        <w:tblLook/>
      </w:tblPr>
      <w:tblGrid>
        <w:gridCol w:w="1085"/>
        <w:gridCol w:w="4315"/>
        <w:gridCol w:w="1716"/>
        <w:gridCol w:w="1315"/>
        <w:gridCol w:w="1476"/>
        <w:gridCol w:w="1471"/>
        <w:gridCol w:w="1116"/>
      </w:tblGrid>
      <w:tr>
        <w:trPr>
          <w:wBefore/>
          <w:trHeight w:val="620"/>
        </w:trPr>
        <w:tc>
          <w:tcPr>
            <w:tcW w:w="10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hint="eastAsia"/>
              </w:rPr>
              <w:t>管理方</w:t>
            </w:r>
          </w:p>
        </w:tc>
        <w:tc>
          <w:tcPr>
            <w:tcW w:w="4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Plan Name</w:t>
            </w:r>
          </w:p>
        </w:tc>
        <w:tc>
          <w:tcPr>
            <w:tcW w:w="17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Granted</w:t>
            </w:r>
          </w:p>
        </w:tc>
        <w:tc>
          <w:tcPr>
            <w:tcW w:w="1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Exercised</w:t>
            </w:r>
          </w:p>
        </w:tc>
        <w:tc>
          <w:tcPr>
            <w:tcW w:w="14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shd w:val="clear" w:color="auto" w:fill="FFDCC4"/>
              </w:rPr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DCC4"/>
              </w:rPr>
              <w:t>Cancelled</w:t>
            </w:r>
          </w:p>
        </w:tc>
        <w:tc>
          <w:tcPr>
            <w:tcW w:w="14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Options Outstanding</w:t>
            </w:r>
          </w:p>
        </w:tc>
        <w:tc>
          <w:tcPr>
            <w:tcW w:w="11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Options Available </w:t>
            </w:r>
          </w:p>
        </w:tc>
      </w:tr>
      <w:tr>
        <w:trPr>
          <w:wBefore/>
          <w:trHeight w:val="368" w:hRule="atLeast"/>
        </w:trPr>
        <w:tc>
          <w:tcPr>
            <w:tcW w:w="1085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hint="eastAsia"/>
              </w:rPr>
              <w:t>futu</w:t>
            </w:r>
          </w:p>
        </w:tc>
        <w:tc>
          <w:tcPr>
            <w:tcW w:w="4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GYRE 2025 BC Subplan</w:t>
            </w:r>
          </w:p>
        </w:tc>
        <w:tc>
          <w:tcPr>
            <w:tcW w:w="17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2,100,000</w:t>
            </w:r>
          </w:p>
        </w:tc>
        <w:tc>
          <w:tcPr>
            <w:tcW w:w="1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4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shd w:val="clear" w:color="auto" w:fill="FFDCC4"/>
              </w:rPr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DCC4"/>
              </w:rPr>
              <w:t>-28,170</w:t>
            </w:r>
          </w:p>
        </w:tc>
        <w:tc>
          <w:tcPr>
            <w:tcW w:w="14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color w:val="2972F4"/>
              </w:rPr>
            </w:pPr>
            <w:r>
              <w:rPr>
                <w:rFonts w:ascii="Arial" w:hAnsi="Arial" w:cs="Arial"/>
                <w:i w:val="0"/>
                <w:strike w:val="0"/>
                <w:color w:val="2972F4"/>
                <w:spacing w:val="0"/>
                <w:sz w:val="20"/>
                <w:u w:val="none"/>
              </w:rPr>
              <w:t>2,071,830</w:t>
            </w:r>
          </w:p>
        </w:tc>
        <w:tc>
          <w:tcPr>
            <w:tcW w:w="11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wBefore/>
          <w:trHeight w:val="320"/>
        </w:trPr>
        <w:tc>
          <w:tcPr>
            <w:tcW w:w="1085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4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GYRE 2023 China Subplan (Plan exhausted)</w:t>
            </w:r>
          </w:p>
        </w:tc>
        <w:tc>
          <w:tcPr>
            <w:tcW w:w="17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4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4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1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wBefore/>
          <w:trHeight w:val="320"/>
        </w:trPr>
        <w:tc>
          <w:tcPr>
            <w:tcW w:w="1085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hint="eastAsia"/>
              </w:rPr>
              <w:t>shareworks</w:t>
            </w:r>
          </w:p>
        </w:tc>
        <w:tc>
          <w:tcPr>
            <w:tcW w:w="4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GYRE 2023 Omnibus Incentive Plan</w:t>
            </w:r>
          </w:p>
        </w:tc>
        <w:tc>
          <w:tcPr>
            <w:tcW w:w="17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3,668,418</w:t>
            </w:r>
          </w:p>
        </w:tc>
        <w:tc>
          <w:tcPr>
            <w:tcW w:w="1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-250,049</w:t>
            </w:r>
          </w:p>
        </w:tc>
        <w:tc>
          <w:tcPr>
            <w:tcW w:w="14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-435,000</w:t>
            </w:r>
          </w:p>
        </w:tc>
        <w:tc>
          <w:tcPr>
            <w:tcW w:w="14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2,983,369</w:t>
            </w:r>
          </w:p>
        </w:tc>
        <w:tc>
          <w:tcPr>
            <w:tcW w:w="11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3,639,230</w:t>
            </w:r>
          </w:p>
        </w:tc>
      </w:tr>
      <w:tr>
        <w:trPr>
          <w:wBefore/>
          <w:trHeight w:val="320"/>
        </w:trPr>
        <w:tc>
          <w:tcPr>
            <w:tcW w:w="1085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4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GYRE 2023 Non-China BCI grants</w:t>
            </w:r>
          </w:p>
        </w:tc>
        <w:tc>
          <w:tcPr>
            <w:tcW w:w="17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9,202,609</w:t>
            </w:r>
          </w:p>
        </w:tc>
        <w:tc>
          <w:tcPr>
            <w:tcW w:w="1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-210,417</w:t>
            </w:r>
          </w:p>
        </w:tc>
        <w:tc>
          <w:tcPr>
            <w:tcW w:w="14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4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8,992,192</w:t>
            </w:r>
          </w:p>
        </w:tc>
        <w:tc>
          <w:tcPr>
            <w:tcW w:w="11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wBefore/>
          <w:trHeight w:val="320"/>
        </w:trPr>
        <w:tc>
          <w:tcPr>
            <w:tcW w:w="1085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4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2018 Omnibus Incentive Plan</w:t>
            </w:r>
          </w:p>
        </w:tc>
        <w:tc>
          <w:tcPr>
            <w:tcW w:w="17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1,554,874</w:t>
            </w:r>
          </w:p>
        </w:tc>
        <w:tc>
          <w:tcPr>
            <w:tcW w:w="1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-55,238</w:t>
            </w:r>
          </w:p>
        </w:tc>
        <w:tc>
          <w:tcPr>
            <w:tcW w:w="14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-1,313,701</w:t>
            </w:r>
          </w:p>
        </w:tc>
        <w:tc>
          <w:tcPr>
            <w:tcW w:w="14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185,935</w:t>
            </w:r>
          </w:p>
        </w:tc>
        <w:tc>
          <w:tcPr>
            <w:tcW w:w="11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wBefore/>
          <w:trHeight w:val="320"/>
        </w:trPr>
        <w:tc>
          <w:tcPr>
            <w:tcW w:w="1085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4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CBIO 2015 Stock Incentive Plan</w:t>
            </w:r>
          </w:p>
        </w:tc>
        <w:tc>
          <w:tcPr>
            <w:tcW w:w="17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359,686</w:t>
            </w:r>
          </w:p>
        </w:tc>
        <w:tc>
          <w:tcPr>
            <w:tcW w:w="1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-13,264</w:t>
            </w:r>
          </w:p>
        </w:tc>
        <w:tc>
          <w:tcPr>
            <w:tcW w:w="14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-193,690</w:t>
            </w:r>
          </w:p>
        </w:tc>
        <w:tc>
          <w:tcPr>
            <w:tcW w:w="14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152,732</w:t>
            </w:r>
          </w:p>
        </w:tc>
        <w:tc>
          <w:tcPr>
            <w:tcW w:w="11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wBefore/>
          <w:trHeight w:val="320"/>
        </w:trPr>
        <w:tc>
          <w:tcPr>
            <w:tcW w:w="1085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4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hint="eastAsia"/>
              </w:rPr>
              <w:t>In Total</w:t>
            </w:r>
          </w:p>
        </w:tc>
        <w:tc>
          <w:tcPr>
            <w:tcW w:w="17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13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147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1471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14,386,058</w:t>
            </w:r>
          </w:p>
        </w:tc>
        <w:tc>
          <w:tcPr>
            <w:tcW w:w="111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3,639,230</w:t>
            </w:r>
          </w:p>
        </w:tc>
      </w:tr>
    </w:tbl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/>
      </w:pPr>
    </w:p>
    <w:p>
      <w:pPr>
        <w:pStyle w:val="000002"/>
        <w:numPr>
          <w:ilvl w:val="0"/>
          <w:numId w:val="1"/>
        </w:numPr>
        <w:rPr/>
      </w:pPr>
      <w:r>
        <w:rPr>
          <w:rFonts w:hint="eastAsia"/>
        </w:rPr>
        <w:t>Captable Summary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282318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8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3"/>
        <w:numPr>
          <w:ilvl w:val="0"/>
          <w:numId w:val="3"/>
        </w:numPr>
        <w:rPr>
          <w:b w:val="1"/>
          <w:sz w:val="22"/>
        </w:rPr>
      </w:pPr>
      <w:r>
        <w:rPr>
          <w:b w:val="1"/>
          <w:i w:val="0"/>
          <w:strike w:val="0"/>
          <w:spacing w:val="0"/>
          <w:sz w:val="22"/>
          <w:u w:val="none"/>
        </w:rPr>
        <w:t xml:space="preserve">EOM EQ Balance OS </w:t>
      </w:r>
    </w:p>
    <w:p>
      <w:pPr>
        <w:pStyle w:val="000001"/>
        <w:numPr/>
        <w:pBdr>
          <w:bottom/>
        </w:pBdr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EOM EQ Balance OS = 111</w:t>
      </w:r>
      <w:r>
        <w:rPr>
          <w:rFonts w:hint="eastAsia"/>
          <w:i w:val="0"/>
          <w:strike w:val="0"/>
          <w:spacing w:val="0"/>
          <w:sz w:val="22"/>
          <w:u w:val="none"/>
        </w:rPr>
        <w:t>,</w:t>
      </w:r>
      <w:r>
        <w:rPr>
          <w:i w:val="0"/>
          <w:strike w:val="0"/>
          <w:spacing w:val="0"/>
          <w:sz w:val="22"/>
          <w:u w:val="none"/>
        </w:rPr>
        <w:t>488</w:t>
      </w:r>
      <w:r>
        <w:rPr>
          <w:rFonts w:hint="eastAsia"/>
          <w:i w:val="0"/>
          <w:strike w:val="0"/>
          <w:spacing w:val="0"/>
          <w:sz w:val="22"/>
          <w:u w:val="none"/>
        </w:rPr>
        <w:t>,</w:t>
      </w:r>
      <w:r>
        <w:rPr>
          <w:i w:val="0"/>
          <w:strike w:val="0"/>
          <w:spacing w:val="0"/>
          <w:sz w:val="22"/>
          <w:u w:val="none"/>
        </w:rPr>
        <w:t>849，来自于Control Book中的最新的期末数据，本月</w:t>
      </w:r>
      <w:r>
        <w:rPr>
          <w:rFonts w:hint="eastAsia"/>
          <w:i w:val="0"/>
          <w:strike w:val="0"/>
          <w:spacing w:val="0"/>
          <w:sz w:val="22"/>
          <w:u w:val="none"/>
        </w:rPr>
        <w:t>也可以没有更新</w:t>
      </w:r>
      <w:r>
        <w:rPr>
          <w:i w:val="0"/>
          <w:strike w:val="0"/>
          <w:spacing w:val="0"/>
          <w:sz w:val="22"/>
          <w:u w:val="none"/>
        </w:rPr>
        <w:t>。</w:t>
      </w:r>
      <w:r>
        <w:rPr>
          <w:sz w:val="22"/>
        </w:rPr>
        <w:t>Control Book 最新期末数量 = 111</w:t>
      </w:r>
      <w:r>
        <w:rPr>
          <w:rFonts w:hint="eastAsia"/>
          <w:sz w:val="22"/>
        </w:rPr>
        <w:t>,</w:t>
      </w:r>
      <w:r>
        <w:rPr>
          <w:sz w:val="22"/>
        </w:rPr>
        <w:t>488</w:t>
      </w:r>
      <w:r>
        <w:rPr>
          <w:rFonts w:hint="eastAsia"/>
          <w:sz w:val="22"/>
        </w:rPr>
        <w:t>,</w:t>
      </w:r>
      <w:r>
        <w:rPr>
          <w:sz w:val="22"/>
        </w:rPr>
        <w:t>849，通过Control Book每次增加几条</w:t>
      </w:r>
    </w:p>
    <w:p>
      <w:pPr>
        <w:pStyle w:val="000001"/>
        <w:pBdr/>
        <w:ind/>
        <w:rPr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>PS：</w:t>
      </w:r>
      <w:r>
        <w:rPr>
          <w:i w:val="0"/>
          <w:strike w:val="0"/>
          <w:spacing w:val="0"/>
          <w:sz w:val="22"/>
          <w:u w:val="none"/>
        </w:rPr>
        <w:t>通常指的是一份截止到EOM (End of Month)当月底的，关于公司尚未行权的发行在外股份（Outstanding Shares）的股权（Equity）结余报告</w:t>
      </w:r>
    </w:p>
    <w:p>
      <w:pPr>
        <w:numPr/>
        <w:pBdr>
          <w:bottom/>
        </w:pBdr>
        <w:ind w:left="0"/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</w:pPr>
      <w:r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  <w:t>来源：</w:t>
      </w:r>
      <w:r>
        <w:rPr>
          <w:rFonts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  <w:t>Control_Books_Detail_Data_02.06.2026_16.42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下图为：</w:t>
      </w:r>
      <w:r>
        <w:rPr>
          <w:i w:val="0"/>
          <w:strike w:val="0"/>
          <w:spacing w:val="0"/>
          <w:u w:val="none"/>
        </w:rPr>
        <w:t>!!Gyre Cap Table 05.31.26【新】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rFonts w:hint="eastAsia"/>
        </w:rPr>
        <w:t>【</w:t>
      </w:r>
      <w:r>
        <w:rPr>
          <w:i w:val="0"/>
          <w:strike w:val="0"/>
          <w:spacing w:val="0"/>
          <w:u w:val="none"/>
        </w:rPr>
        <w:t>EQ Control Book</w:t>
      </w:r>
      <w:r>
        <w:rPr>
          <w:rFonts w:hint="eastAsia"/>
        </w:rPr>
        <w:t>】页面根据来源文件，更新的情况与方式如下：</w:t>
      </w:r>
    </w:p>
    <w:p>
      <w:pPr>
        <w:numPr/>
        <w:pBdr/>
        <w:ind w:left="0"/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</w:pPr>
      <w:r>
        <w:rPr/>
        <w:drawing>
          <wp:inline distT="0" distB="0" distL="0" distR="0">
            <wp:extent cx="5278120" cy="165010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278120" cy="1650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</w:pPr>
    </w:p>
    <w:p>
      <w:pPr>
        <w:numPr/>
        <w:pBdr/>
        <w:ind w:left="0"/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</w:pPr>
      <w:r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  <w:t>检查项：期末已发行流通股数量与系统中的截图所示的Outstanding Shares相同</w:t>
      </w:r>
    </w:p>
    <w:p>
      <w:pPr>
        <w:numPr/>
        <w:pBdr/>
        <w:ind w:left="0"/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</w:pPr>
      <w:r>
        <w:rPr/>
        <w:drawing>
          <wp:inline distT="0" distB="0" distL="0" distR="0">
            <wp:extent cx="3668395" cy="184319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 flipH="0" flipV="0">
                      <a:off x="0" y="0"/>
                      <a:ext cx="3668395" cy="18431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i w:val="0"/>
          <w:strike w:val="0"/>
          <w:spacing w:val="0"/>
          <w:sz w:val="22"/>
          <w:u w:val="none"/>
        </w:rPr>
      </w:pPr>
    </w:p>
    <w:p>
      <w:pPr>
        <w:pStyle w:val="000003"/>
        <w:numPr>
          <w:ilvl w:val="0"/>
          <w:numId w:val="3"/>
        </w:numPr>
        <w:rPr>
          <w:b w:val="1"/>
          <w:sz w:val="22"/>
        </w:rPr>
      </w:pPr>
      <w:r>
        <w:rPr>
          <w:b w:val="1"/>
          <w:i w:val="0"/>
          <w:strike w:val="0"/>
          <w:spacing w:val="0"/>
          <w:sz w:val="22"/>
          <w:u w:val="none"/>
        </w:rPr>
        <w:t>Common Shares OS</w:t>
      </w:r>
    </w:p>
    <w:p>
      <w:pPr>
        <w:pStyle w:val="000001"/>
        <w:numPr/>
        <w:pBdr>
          <w:bottom/>
        </w:pBdr>
        <w:ind/>
        <w:rPr>
          <w:sz w:val="22"/>
        </w:rPr>
      </w:pPr>
      <w:r>
        <w:rPr>
          <w:i w:val="0"/>
          <w:strike w:val="0"/>
          <w:spacing w:val="0"/>
          <w:sz w:val="22"/>
          <w:u w:val="none"/>
        </w:rPr>
        <w:t>Common Shares OS</w:t>
      </w:r>
      <w:r>
        <w:rPr>
          <w:rFonts w:hint="eastAsia"/>
          <w:i w:val="0"/>
          <w:strike w:val="0"/>
          <w:spacing w:val="0"/>
          <w:sz w:val="22"/>
          <w:u w:val="none"/>
        </w:rPr>
        <w:t>=“</w:t>
      </w:r>
      <w:r>
        <w:rPr>
          <w:i w:val="0"/>
          <w:strike w:val="0"/>
          <w:spacing w:val="0"/>
          <w:sz w:val="22"/>
          <w:u w:val="none"/>
        </w:rPr>
        <w:t>EOM EQ Balance OS</w:t>
      </w:r>
      <w:r>
        <w:rPr>
          <w:rFonts w:hint="eastAsia"/>
          <w:i w:val="0"/>
          <w:strike w:val="0"/>
          <w:spacing w:val="0"/>
          <w:sz w:val="22"/>
          <w:u w:val="none"/>
        </w:rPr>
        <w:t>“-“</w:t>
      </w:r>
      <w:r>
        <w:rPr>
          <w:sz w:val="22"/>
        </w:rPr>
        <w:t>Cullgen common stock</w:t>
      </w:r>
      <w:r>
        <w:rPr>
          <w:rFonts w:hint="eastAsia"/>
          <w:sz w:val="22"/>
        </w:rPr>
        <w:t>“-“</w:t>
      </w:r>
      <w:r>
        <w:rPr>
          <w:i w:val="0"/>
          <w:strike w:val="0"/>
          <w:spacing w:val="0"/>
          <w:sz w:val="22"/>
          <w:u w:val="none"/>
        </w:rPr>
        <w:t>BCI Shares Held by Futu</w:t>
      </w:r>
      <w:r>
        <w:rPr>
          <w:rFonts w:hint="eastAsia"/>
          <w:i w:val="0"/>
          <w:strike w:val="0"/>
          <w:spacing w:val="0"/>
          <w:sz w:val="22"/>
          <w:u w:val="none"/>
        </w:rPr>
        <w:t>“-“</w:t>
      </w:r>
      <w:r>
        <w:rPr>
          <w:i w:val="0"/>
          <w:strike w:val="0"/>
          <w:spacing w:val="0"/>
          <w:sz w:val="22"/>
          <w:u w:val="none"/>
        </w:rPr>
        <w:t>2025 BC Subplan shares transferred to Futu</w:t>
      </w:r>
      <w:r>
        <w:rPr>
          <w:rFonts w:hint="eastAsia"/>
          <w:i w:val="0"/>
          <w:strike w:val="0"/>
          <w:spacing w:val="0"/>
          <w:sz w:val="22"/>
          <w:u w:val="none"/>
        </w:rPr>
        <w:t>”=</w:t>
      </w:r>
      <w:r>
        <w:rPr>
          <w:rFonts w:ascii="等线" w:hAnsi="等线" w:eastAsia="等线" w:cs="等线"/>
          <w:b w:val="1"/>
          <w:i w:val="0"/>
          <w:strike w:val="0"/>
          <w:color w:val="000000"/>
          <w:spacing w:val="0"/>
          <w:sz w:val="22"/>
          <w:u w:val="none"/>
        </w:rPr>
        <w:t>91,466,285</w:t>
      </w:r>
    </w:p>
    <w:p>
      <w:pPr>
        <w:pStyle w:val="000001"/>
        <w:numPr/>
        <w:pBdr/>
        <w:ind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2"/>
          <w:u w:val="none"/>
        </w:rPr>
      </w:pP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2"/>
          <w:u w:val="none"/>
        </w:rPr>
        <w:t>是一个</w:t>
      </w:r>
      <w:r>
        <w:rPr>
          <w:rFonts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2"/>
          <w:u w:val="none"/>
        </w:rPr>
        <w:t>剔除特定普通股</w:t>
      </w:r>
      <w:r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2"/>
          <w:u w:val="none"/>
        </w:rPr>
        <w:t>之后的剩余普通股数量。它可能代表“母公司普通股”或“不含某些子公司/计划下的普通股”。</w:t>
      </w:r>
    </w:p>
    <w:p>
      <w:pPr>
        <w:pStyle w:val="000001"/>
        <w:numPr/>
        <w:pBdr/>
        <w:ind/>
        <w:rPr>
          <w:rFonts w:ascii="quote-cjk-patch" w:hAnsi="quote-cjk-patch" w:eastAsia="quote-cjk-patch" w:cs="quote-cjk-patch"/>
          <w:i w:val="0"/>
          <w:strike w:val="0"/>
          <w:color w:val="0F1115"/>
          <w:spacing w:val="0"/>
          <w:sz w:val="22"/>
          <w:u w:val="none"/>
        </w:rPr>
      </w:pPr>
    </w:p>
    <w:p>
      <w:pPr>
        <w:pStyle w:val="000003"/>
        <w:numPr>
          <w:ilvl w:val="0"/>
          <w:numId w:val="3"/>
        </w:numPr>
        <w:rPr>
          <w:rFonts w:hint="eastAsia" w:ascii="quote-cjk-patch" w:hAnsi="quote-cjk-patch" w:eastAsia="quote-cjk-patch" w:cs="quote-cjk-patch"/>
          <w:b w:val="1"/>
          <w:i w:val="0"/>
          <w:strike w:val="0"/>
          <w:color w:val="0F1115"/>
          <w:spacing w:val="0"/>
          <w:sz w:val="22"/>
          <w:u w:val="none"/>
        </w:rPr>
      </w:pPr>
      <w:r>
        <w:rPr>
          <w:b w:val="1"/>
          <w:sz w:val="22"/>
        </w:rPr>
        <w:t>Cullgen common stock</w:t>
      </w:r>
    </w:p>
    <w:p>
      <w:pPr>
        <w:pStyle w:val="000001"/>
        <w:numPr/>
        <w:pBdr/>
        <w:ind/>
        <w:rPr>
          <w:rFonts w:hint="eastAsia"/>
          <w:sz w:val="22"/>
        </w:rPr>
      </w:pPr>
      <w:r>
        <w:rPr>
          <w:sz w:val="22"/>
        </w:rPr>
        <w:t>Cullgen common stock = 14,450,527</w:t>
      </w:r>
      <w:r>
        <w:rPr>
          <w:rFonts w:hint="eastAsia"/>
          <w:sz w:val="22"/>
        </w:rPr>
        <w:t>，</w:t>
      </w:r>
      <w:r>
        <w:rPr>
          <w:sz w:val="22"/>
        </w:rPr>
        <w:t>Cullgen</w:t>
      </w:r>
      <w:r>
        <w:rPr>
          <w:rFonts w:hint="eastAsia"/>
          <w:sz w:val="22"/>
        </w:rPr>
        <w:t>母公司的普通股，固定值支持修改</w:t>
      </w:r>
    </w:p>
    <w:p>
      <w:pPr>
        <w:pStyle w:val="000001"/>
        <w:numPr/>
        <w:ind/>
        <w:rPr>
          <w:rFonts w:hint="eastAsia"/>
          <w:sz w:val="22"/>
        </w:rPr>
      </w:pPr>
    </w:p>
    <w:p>
      <w:pPr>
        <w:pStyle w:val="000001"/>
        <w:numPr>
          <w:ilvl w:val="0"/>
          <w:numId w:val="4"/>
        </w:numPr>
        <w:pBdr/>
        <w:ind/>
        <w:rPr>
          <w:b w:val="1"/>
          <w:i w:val="0"/>
          <w:strike w:val="0"/>
          <w:spacing w:val="0"/>
          <w:sz w:val="22"/>
          <w:u w:val="none"/>
        </w:rPr>
      </w:pPr>
      <w:r>
        <w:rPr>
          <w:b w:val="1"/>
          <w:i w:val="0"/>
          <w:strike w:val="0"/>
          <w:spacing w:val="0"/>
          <w:sz w:val="22"/>
          <w:u w:val="none"/>
        </w:rPr>
        <w:t>BCI Shares Held by Futu Futu</w:t>
      </w:r>
    </w:p>
    <w:p>
      <w:pPr>
        <w:pStyle w:val="000001"/>
        <w:pBdr/>
        <w:ind w:left="0"/>
        <w:rPr>
          <w:i w:val="0"/>
          <w:strike w:val="0"/>
          <w:spacing w:val="0"/>
          <w:sz w:val="22"/>
          <w:u w:val="none"/>
        </w:rPr>
      </w:pPr>
      <w:r>
        <w:rPr>
          <w:b w:val="1"/>
          <w:i w:val="0"/>
          <w:strike w:val="0"/>
          <w:spacing w:val="0"/>
          <w:sz w:val="22"/>
          <w:u w:val="none"/>
        </w:rPr>
        <w:t>Gyre 2023 China SubPlan</w:t>
      </w:r>
      <w:r>
        <w:rPr>
          <w:rFonts w:hint="eastAsia"/>
          <w:i w:val="0"/>
          <w:strike w:val="0"/>
          <w:spacing w:val="0"/>
          <w:sz w:val="22"/>
          <w:u w:val="none"/>
        </w:rPr>
        <w:t>的计划在futu管理，的数量已经全部归属，</w:t>
      </w:r>
      <w:r>
        <w:rPr>
          <w:i w:val="0"/>
          <w:strike w:val="0"/>
          <w:spacing w:val="0"/>
          <w:sz w:val="22"/>
          <w:u w:val="none"/>
        </w:rPr>
        <w:t>Gyre 2023 China SubPlan Total</w:t>
      </w:r>
      <w:r>
        <w:rPr>
          <w:rFonts w:hint="eastAsia"/>
          <w:i w:val="0"/>
          <w:strike w:val="0"/>
          <w:spacing w:val="0"/>
          <w:sz w:val="22"/>
          <w:u w:val="none"/>
        </w:rPr>
        <w:t>=</w:t>
      </w:r>
      <w:r>
        <w:rPr>
          <w:rFonts w:ascii="Calibri" w:hAnsi="Calibri" w:cs="Calibri"/>
          <w:b w:val="1"/>
          <w:i w:val="0"/>
          <w:strike w:val="0"/>
          <w:color w:val="000000"/>
          <w:spacing w:val="0"/>
          <w:sz w:val="22"/>
          <w:u w:val="none"/>
        </w:rPr>
        <w:t>7,815,396</w:t>
      </w:r>
      <w:r>
        <w:rPr>
          <w:rFonts w:hint="eastAsia" w:ascii="Calibri" w:hAnsi="Calibri" w:cs="Calibri"/>
          <w:b w:val="1"/>
          <w:i w:val="0"/>
          <w:strike w:val="0"/>
          <w:color w:val="000000"/>
          <w:spacing w:val="0"/>
          <w:sz w:val="22"/>
          <w:u w:val="none"/>
        </w:rPr>
        <w:t>，固定值</w:t>
      </w:r>
    </w:p>
    <w:p>
      <w:pPr>
        <w:numPr/>
        <w:pBdr/>
        <w:snapToGrid w:val="1"/>
        <w:spacing w:before="0" w:after="0" w:line="240"/>
        <w:ind/>
        <w:jc w:val="left"/>
        <w:rPr>
          <w:i w:val="0"/>
          <w:strike w:val="0"/>
          <w:spacing w:val="0"/>
          <w:sz w:val="22"/>
          <w:u w:val="none"/>
        </w:rPr>
      </w:pPr>
    </w:p>
    <w:p>
      <w:pPr>
        <w:numPr/>
        <w:pBdr>
          <w:bottom/>
        </w:pBdr>
        <w:snapToGrid w:val="1"/>
        <w:spacing w:before="0" w:after="0" w:line="240"/>
        <w:ind/>
        <w:jc w:val="left"/>
        <w:rPr>
          <w:rFonts w:hint="eastAsia" w:ascii="Calibri" w:hAnsi="Calibri" w:cs="Calibri"/>
          <w:b w:val="1"/>
          <w:i w:val="0"/>
          <w:strike w:val="0"/>
          <w:color w:val="00000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BCI Shares Held by Futu Futu</w:t>
      </w:r>
      <w:r>
        <w:rPr>
          <w:rFonts w:hint="eastAsia"/>
          <w:i w:val="0"/>
          <w:strike w:val="0"/>
          <w:spacing w:val="0"/>
          <w:sz w:val="22"/>
          <w:u w:val="none"/>
        </w:rPr>
        <w:t>=</w:t>
      </w:r>
      <w:r>
        <w:rPr>
          <w:rFonts w:hint="eastAsia" w:ascii="Calibri" w:hAnsi="Calibri" w:cs="Calibri"/>
          <w:b w:val="1"/>
          <w:i w:val="0"/>
          <w:strike w:val="0"/>
          <w:color w:val="000000"/>
          <w:spacing w:val="0"/>
          <w:sz w:val="22"/>
          <w:u w:val="none"/>
        </w:rPr>
        <w:t>原始数量（</w:t>
      </w:r>
      <w:r>
        <w:rPr>
          <w:rFonts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  <w:t>Futu BCI (orig)</w:t>
      </w:r>
      <w:r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  <w:t xml:space="preserve"> K6</w:t>
      </w:r>
      <w:r>
        <w:rPr>
          <w:rFonts w:hint="eastAsia" w:ascii="Calibri" w:hAnsi="Calibri" w:cs="Calibri"/>
          <w:b w:val="1"/>
          <w:i w:val="0"/>
          <w:strike w:val="0"/>
          <w:color w:val="000000"/>
          <w:spacing w:val="0"/>
          <w:sz w:val="22"/>
          <w:u w:val="none"/>
        </w:rPr>
        <w:t xml:space="preserve">）-已行权数量 = </w:t>
      </w:r>
      <w:r>
        <w:rPr>
          <w:rFonts w:ascii="Calibri" w:hAnsi="Calibri" w:cs="Calibri"/>
          <w:b w:val="1"/>
          <w:i w:val="0"/>
          <w:strike w:val="0"/>
          <w:color w:val="000000"/>
          <w:spacing w:val="0"/>
          <w:sz w:val="22"/>
          <w:u w:val="none"/>
        </w:rPr>
        <w:t xml:space="preserve">7,815,396 </w:t>
      </w:r>
      <w:r>
        <w:rPr>
          <w:rFonts w:hint="eastAsia" w:ascii="Calibri" w:hAnsi="Calibri" w:cs="Calibri"/>
          <w:b w:val="1"/>
          <w:i w:val="0"/>
          <w:strike w:val="0"/>
          <w:color w:val="000000"/>
          <w:spacing w:val="0"/>
          <w:sz w:val="22"/>
          <w:u w:val="none"/>
        </w:rPr>
        <w:t>- 2,938,523=4,876,873</w:t>
      </w:r>
    </w:p>
    <w:p>
      <w:pPr>
        <w:pStyle w:val="000001"/>
        <w:numPr/>
        <w:pBdr>
          <w:bottom/>
        </w:pBdr>
        <w:ind/>
        <w:rPr>
          <w:i w:val="0"/>
          <w:strike w:val="0"/>
          <w:spacing w:val="0"/>
          <w:sz w:val="22"/>
          <w:u w:val="none"/>
        </w:rPr>
      </w:pPr>
      <w:r>
        <w:rPr>
          <w:rFonts w:hint="eastAsia"/>
        </w:rPr>
        <w:t>已行权数量：futu提供减持报表，在</w:t>
      </w:r>
      <w:r>
        <w:rPr>
          <w:i w:val="0"/>
          <w:strike w:val="0"/>
          <w:spacing w:val="0"/>
          <w:u w:val="none"/>
        </w:rPr>
        <w:t>!!Gyre Cap Table 05.31.26【新】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rFonts w:hint="eastAsia"/>
        </w:rPr>
        <w:t>【</w:t>
      </w:r>
      <w:r>
        <w:rPr/>
        <w:t>Futu BCI Exercises to Date</w:t>
      </w:r>
      <w:r>
        <w:rPr>
          <w:rFonts w:hint="eastAsia"/>
        </w:rPr>
        <w:t>】页面每个月增加减持的明细，并且加总得出Exercised Qty（已行权总数量）</w:t>
      </w:r>
    </w:p>
    <w:p>
      <w:pPr>
        <w:pStyle w:val="000001"/>
        <w:numPr/>
        <w:pBdr>
          <w:bottom/>
        </w:pBdr>
        <w:ind/>
        <w:rPr/>
      </w:pPr>
      <w:r>
        <w:rPr/>
        <w:drawing>
          <wp:inline distT="0" distB="0" distL="0" distR="0">
            <wp:extent cx="5278120" cy="1161712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278120" cy="1161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000015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  <w:tblLook/>
      </w:tblPr>
      <w:tblGrid>
        <w:gridCol w:w="1996"/>
        <w:gridCol w:w="2547"/>
        <w:gridCol w:w="2115"/>
        <w:gridCol w:w="1913"/>
      </w:tblGrid>
      <w:tr>
        <w:trPr>
          <w:wBefore/>
          <w:trHeight w:val="340"/>
        </w:trPr>
        <w:tc>
          <w:tcPr>
            <w:tcW w:w="1996" w:type="dxa"/>
            <w:tcBorders>
              <w:tl2br w:val="nil" w:color="auto" w:sz="0"/>
              <w:tr2bl w:val="nil" w:color="auto" w:sz="0"/>
            </w:tcBorders>
            <w:shd w:val="clear" w:color="auto" w:fill="BEE3F8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sz w:val="22"/>
                <w:shd w:val="clear" w:color="auto" w:fill="FF9C99"/>
              </w:rPr>
            </w:pPr>
            <w:r>
              <w:rPr>
                <w:rFonts w:ascii="宋体-简" w:hAnsi="宋体-简" w:eastAsia="宋体-简" w:cs="宋体-简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9C99"/>
              </w:rPr>
              <w:t>已行权数量</w:t>
            </w:r>
          </w:p>
        </w:tc>
        <w:tc>
          <w:tcPr>
            <w:tcW w:w="2547" w:type="dxa"/>
            <w:tcBorders>
              <w:tl2br w:val="nil" w:color="auto" w:sz="0"/>
              <w:tr2bl w:val="nil" w:color="auto" w:sz="0"/>
            </w:tcBorders>
            <w:shd w:val="clear" w:color="auto" w:fill="BEE3F8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sz w:val="22"/>
              </w:rPr>
            </w:pPr>
            <w:r>
              <w:rPr>
                <w:rFonts w:ascii="宋体-简" w:hAnsi="宋体-简" w:eastAsia="宋体-简" w:cs="宋体-简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行权成本（美元）</w:t>
            </w:r>
          </w:p>
        </w:tc>
        <w:tc>
          <w:tcPr>
            <w:tcW w:w="2115" w:type="dxa"/>
            <w:tcBorders>
              <w:tl2br w:val="nil" w:color="auto" w:sz="0"/>
              <w:tr2bl w:val="nil" w:color="auto" w:sz="0"/>
            </w:tcBorders>
            <w:shd w:val="clear" w:color="auto" w:fill="BEE3F8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sz w:val="22"/>
              </w:rPr>
            </w:pPr>
            <w:r>
              <w:rPr>
                <w:rFonts w:ascii="宋体-简" w:hAnsi="宋体-简" w:eastAsia="宋体-简" w:cs="宋体-简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扣除/出售数量</w:t>
            </w:r>
          </w:p>
        </w:tc>
        <w:tc>
          <w:tcPr>
            <w:tcW w:w="1913" w:type="dxa"/>
            <w:tcBorders>
              <w:tl2br w:val="nil" w:color="auto" w:sz="0"/>
              <w:tr2bl w:val="nil" w:color="auto" w:sz="0"/>
            </w:tcBorders>
            <w:shd w:val="clear" w:color="auto" w:fill="BEE3F8"/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sz w:val="22"/>
              </w:rPr>
            </w:pPr>
            <w:r>
              <w:rPr>
                <w:rFonts w:ascii="宋体-简" w:hAnsi="宋体-简" w:eastAsia="宋体-简" w:cs="宋体-简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成交数量</w:t>
            </w:r>
          </w:p>
        </w:tc>
      </w:tr>
      <w:tr>
        <w:trPr>
          <w:wBefore/>
          <w:trHeight w:val="336"/>
        </w:trPr>
        <w:tc>
          <w:tcPr>
            <w:tcW w:w="1996" w:type="dxa"/>
            <w:tcBorders>
              <w:tl2br w:val="nil" w:color="auto" w:sz="0"/>
              <w:tr2bl w:val="nil" w:color="auto" w:sz="0"/>
            </w:tcBorders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>
                <w:sz w:val="22"/>
                <w:shd w:val="clear" w:color="auto" w:fill="FF9C99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9C99"/>
              </w:rPr>
              <w:t>Exercised Qty</w:t>
            </w:r>
          </w:p>
        </w:tc>
        <w:tc>
          <w:tcPr>
            <w:tcW w:w="2547" w:type="dxa"/>
            <w:tcBorders>
              <w:tl2br w:val="nil" w:color="auto" w:sz="0"/>
              <w:tr2bl w:val="nil" w:color="auto" w:sz="0"/>
            </w:tcBorders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Exercise Cost(USD)</w:t>
            </w:r>
          </w:p>
        </w:tc>
        <w:tc>
          <w:tcPr>
            <w:tcW w:w="2115" w:type="dxa"/>
            <w:tcBorders>
              <w:tl2br w:val="nil" w:color="auto" w:sz="0"/>
              <w:tr2bl w:val="nil" w:color="auto" w:sz="0"/>
            </w:tcBorders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Deduction/Selling Qty.</w:t>
            </w:r>
          </w:p>
        </w:tc>
        <w:tc>
          <w:tcPr>
            <w:tcW w:w="1913" w:type="dxa"/>
            <w:tcBorders>
              <w:tl2br w:val="nil" w:color="auto" w:sz="0"/>
              <w:tr2bl w:val="nil" w:color="auto" w:sz="0"/>
            </w:tcBorders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Dealt Qty.</w:t>
            </w:r>
          </w:p>
        </w:tc>
      </w:tr>
      <w:tr>
        <w:trPr>
          <w:wBefore/>
          <w:trHeight w:val="336"/>
        </w:trPr>
        <w:tc>
          <w:tcPr>
            <w:tcW w:w="1996" w:type="dxa"/>
            <w:tcBorders>
              <w:tl2br w:val="nil" w:color="auto" w:sz="0"/>
              <w:tr2bl w:val="nil" w:color="auto" w:sz="0"/>
            </w:tcBorders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>
                <w:sz w:val="22"/>
                <w:shd w:val="clear" w:color="auto" w:fill="FF9C99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FF9C99"/>
              </w:rPr>
              <w:t>2,938,523</w:t>
            </w:r>
          </w:p>
        </w:tc>
        <w:tc>
          <w:tcPr>
            <w:tcW w:w="2547" w:type="dxa"/>
            <w:tcBorders>
              <w:tl2br w:val="nil" w:color="auto" w:sz="0"/>
              <w:tr2bl w:val="nil" w:color="auto" w:sz="0"/>
            </w:tcBorders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2,210,555</w:t>
            </w:r>
          </w:p>
        </w:tc>
        <w:tc>
          <w:tcPr>
            <w:tcW w:w="2115" w:type="dxa"/>
            <w:tcBorders>
              <w:tl2br w:val="nil" w:color="auto" w:sz="0"/>
              <w:tr2bl w:val="nil" w:color="auto" w:sz="0"/>
            </w:tcBorders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738,771</w:t>
            </w:r>
          </w:p>
        </w:tc>
        <w:tc>
          <w:tcPr>
            <w:tcW w:w="1913" w:type="dxa"/>
            <w:tcBorders>
              <w:tl2br w:val="nil" w:color="auto" w:sz="0"/>
              <w:tr2bl w:val="nil" w:color="auto" w:sz="0"/>
            </w:tcBorders>
            <w:tcMar>
              <w:bottom w:w="0" w:type="dxa"/>
            </w:tcMar>
            <w:vAlign w:val="center"/>
          </w:tcPr>
          <w:p>
            <w:pPr>
              <w:numPr/>
              <w:snapToGrid w:val="1"/>
              <w:spacing w:before="0" w:after="0" w:line="240"/>
              <w:ind/>
              <w:jc w:val="left"/>
              <w:rPr>
                <w:sz w:val="22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738,771</w:t>
            </w:r>
          </w:p>
        </w:tc>
      </w:tr>
    </w:tbl>
    <w:p>
      <w:pPr>
        <w:pStyle w:val="000001"/>
        <w:numPr/>
        <w:ind/>
        <w:rPr/>
      </w:pPr>
      <w:r>
        <w:rPr>
          <w:rFonts w:hint="eastAsia"/>
        </w:rPr>
        <w:t>来源是富途的报表如下图（待提供）：</w:t>
      </w:r>
    </w:p>
    <w:p>
      <w:pPr>
        <w:numPr/>
        <w:pBdr/>
        <w:ind w:left="0"/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</w:pPr>
      <w:r>
        <w:rPr/>
        <w:drawing>
          <wp:inline distT="0" distB="0" distL="0" distR="0">
            <wp:extent cx="5278120" cy="263906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Fonts w:hint="eastAsia" w:ascii="SF Pro Text" w:hAnsi="SF Pro Text" w:eastAsia="SF Pro Text" w:cs="SF Pro Text"/>
          <w:b w:val="1"/>
          <w:i w:val="0"/>
          <w:strike w:val="0"/>
          <w:color w:val="1A1A1A"/>
          <w:spacing w:val="0"/>
          <w:sz w:val="21"/>
          <w:u w:val="none"/>
        </w:rPr>
      </w:pPr>
    </w:p>
    <w:p>
      <w:pPr>
        <w:pStyle w:val="000001"/>
        <w:pBdr/>
        <w:ind w:left="0"/>
        <w:rPr>
          <w:i w:val="0"/>
          <w:strike w:val="0"/>
          <w:spacing w:val="0"/>
          <w:sz w:val="22"/>
          <w:u w:val="none"/>
        </w:rPr>
      </w:pPr>
    </w:p>
    <w:p>
      <w:pPr>
        <w:pStyle w:val="000001"/>
        <w:pBdr/>
        <w:ind w:left="0"/>
        <w:rPr>
          <w:i w:val="0"/>
          <w:strike w:val="0"/>
          <w:spacing w:val="0"/>
          <w:sz w:val="22"/>
          <w:u w:val="none"/>
        </w:rPr>
      </w:pPr>
    </w:p>
    <w:p>
      <w:pPr>
        <w:pStyle w:val="000003"/>
        <w:numPr>
          <w:ilvl w:val="0"/>
          <w:numId w:val="3"/>
        </w:numPr>
        <w:rPr>
          <w:b w:val="1"/>
          <w:i w:val="0"/>
          <w:strike w:val="0"/>
          <w:spacing w:val="0"/>
          <w:sz w:val="22"/>
          <w:u w:val="none"/>
        </w:rPr>
      </w:pPr>
      <w:r>
        <w:rPr>
          <w:b w:val="1"/>
          <w:i w:val="0"/>
          <w:strike w:val="0"/>
          <w:spacing w:val="0"/>
          <w:sz w:val="22"/>
          <w:u w:val="none"/>
        </w:rPr>
        <w:t>2025 BC Subplan shares transferred to Futu</w:t>
      </w:r>
    </w:p>
    <w:p>
      <w:pPr>
        <w:pStyle w:val="000001"/>
        <w:numPr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sz w:val="22"/>
        </w:rPr>
        <w:t>GYRE 2025 BC Subplan</w:t>
      </w:r>
      <w:r>
        <w:rPr>
          <w:rFonts w:hint="eastAsia"/>
          <w:sz w:val="22"/>
        </w:rPr>
        <w:t>的计划每个月转给futu的总数，从2025年12月开始，通过control book上的备注【</w:t>
      </w:r>
      <w:r>
        <w:rPr>
          <w:rFonts w:ascii="微软雅黑" w:hAnsi="微软雅黑" w:eastAsia="微软雅黑" w:cs="微软雅黑"/>
          <w:i w:val="0"/>
          <w:strike w:val="0"/>
          <w:color w:val="1A1A1A"/>
          <w:spacing w:val="0"/>
          <w:sz w:val="21"/>
          <w:u w:val="none"/>
        </w:rPr>
        <w:t>Omnibus Inc. Pl</w:t>
      </w:r>
      <w:r>
        <w:rPr>
          <w:rFonts w:hint="eastAsia"/>
          <w:sz w:val="22"/>
        </w:rPr>
        <w:t>】加总获得，并且根据</w:t>
      </w:r>
      <w:r>
        <w:rPr>
          <w:i w:val="0"/>
          <w:strike w:val="0"/>
          <w:spacing w:val="0"/>
          <w:sz w:val="22"/>
          <w:u w:val="none"/>
        </w:rPr>
        <w:t>2025 BC Subplan Transfer</w:t>
      </w:r>
      <w:r>
        <w:rPr>
          <w:rFonts w:hint="eastAsia"/>
          <w:i w:val="0"/>
          <w:strike w:val="0"/>
          <w:spacing w:val="0"/>
          <w:sz w:val="22"/>
          <w:u w:val="none"/>
        </w:rPr>
        <w:t>的计划加总作为校验点进行检查。</w:t>
      </w:r>
    </w:p>
    <w:p>
      <w:pPr>
        <w:numPr/>
        <w:pBdr/>
        <w:ind w:leftChars="0" w:firstLineChars="0"/>
        <w:rPr>
          <w:rFonts w:hint="eastAsia" w:ascii="微软雅黑" w:hAnsi="微软雅黑" w:eastAsia="微软雅黑" w:cs="微软雅黑"/>
          <w:b w:val="1"/>
          <w:i w:val="0"/>
          <w:strike w:val="0"/>
          <w:color w:val="1A1A1A"/>
          <w:spacing w:val="0"/>
          <w:sz w:val="21"/>
          <w:u w:val="none"/>
        </w:rPr>
      </w:pPr>
    </w:p>
    <w:p>
      <w:pPr>
        <w:numPr/>
        <w:pBdr>
          <w:bottom/>
        </w:pBdr>
        <w:ind w:leftChars="0" w:firstLineChars="0"/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b w:val="1"/>
          <w:i w:val="0"/>
          <w:strike w:val="0"/>
          <w:color w:val="1A1A1A"/>
          <w:spacing w:val="0"/>
          <w:sz w:val="21"/>
          <w:u w:val="none"/>
        </w:rPr>
        <w:t>计算逻辑：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  <w:t>准确的也通过EQ Coutrol Book中备注是【</w:t>
      </w:r>
      <w:r>
        <w:rPr>
          <w:rFonts w:ascii="微软雅黑" w:hAnsi="微软雅黑" w:eastAsia="微软雅黑" w:cs="微软雅黑"/>
          <w:i w:val="0"/>
          <w:strike w:val="0"/>
          <w:color w:val="1A1A1A"/>
          <w:spacing w:val="0"/>
          <w:sz w:val="21"/>
          <w:u w:val="none"/>
        </w:rPr>
        <w:t>Omnibus Inc. Pl</w:t>
      </w:r>
      <w:r>
        <w:rPr>
          <w:rFonts w:hint="eastAsia" w:ascii="微软雅黑" w:hAnsi="微软雅黑" w:eastAsia="微软雅黑" w:cs="微软雅黑"/>
          <w:i w:val="0"/>
          <w:strike w:val="0"/>
          <w:color w:val="1A1A1A"/>
          <w:spacing w:val="0"/>
          <w:sz w:val="21"/>
          <w:u w:val="none"/>
        </w:rPr>
        <w:t>/</w:t>
      </w:r>
      <w:r>
        <w:rPr>
          <w:rFonts w:ascii="微软雅黑" w:hAnsi="微软雅黑" w:eastAsia="微软雅黑" w:cs="微软雅黑"/>
          <w:i w:val="0"/>
          <w:strike w:val="0"/>
          <w:color w:val="1A1A1A"/>
          <w:spacing w:val="0"/>
          <w:sz w:val="21"/>
          <w:u w:val="none"/>
        </w:rPr>
        <w:t>Omnibus Inc. Pl</w:t>
      </w:r>
      <w:r>
        <w:rPr>
          <w:rFonts w:hint="eastAsia" w:ascii="微软雅黑" w:hAnsi="微软雅黑" w:eastAsia="微软雅黑" w:cs="微软雅黑"/>
          <w:i w:val="0"/>
          <w:strike w:val="0"/>
          <w:color w:val="1A1A1A"/>
          <w:spacing w:val="0"/>
          <w:sz w:val="21"/>
          <w:u w:val="none"/>
        </w:rPr>
        <w:t>.</w:t>
      </w:r>
      <w:r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  <w:t xml:space="preserve">】进行统计，2025 BC Subplan shares transferred to Futu = </w:t>
      </w: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  <w:t>568,797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  <w:t>+</w:t>
      </w: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  <w:t xml:space="preserve"> 61,657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  <w:t>+</w:t>
      </w: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  <w:t>30,390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  <w:t>+</w:t>
      </w:r>
      <w:r>
        <w:rPr>
          <w:rFonts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  <w:t>34,321</w:t>
      </w:r>
      <w:r>
        <w:rPr>
          <w:rFonts w:hint="eastAsia" w:ascii="微软雅黑" w:hAnsi="微软雅黑" w:eastAsia="微软雅黑" w:cs="微软雅黑"/>
          <w:i w:val="0"/>
          <w:strike w:val="0"/>
          <w:color w:val="000000"/>
          <w:spacing w:val="0"/>
          <w:sz w:val="22"/>
          <w:u w:val="none"/>
        </w:rPr>
        <w:t>=695,165</w:t>
      </w:r>
    </w:p>
    <w:p>
      <w:pPr>
        <w:numPr/>
        <w:pBdr/>
        <w:ind w:leftChars="0" w:firstLineChars="0"/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</w:pPr>
      <w:r>
        <w:rPr/>
        <w:drawing>
          <wp:inline distT="0" distB="0" distL="0" distR="0">
            <wp:extent cx="5278120" cy="2539876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278120" cy="2539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Chars="0" w:firstLineChars="0"/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  <w:shd w:val="clear" w:color="auto" w:fill="FFF9E3"/>
        </w:rPr>
      </w:pPr>
      <w:r>
        <w:rPr>
          <w:rFonts w:hint="eastAsia" w:ascii="微软雅黑" w:hAnsi="微软雅黑" w:eastAsia="微软雅黑" w:cs="微软雅黑"/>
          <w:b w:val="1"/>
          <w:i w:val="0"/>
          <w:strike w:val="0"/>
          <w:color w:val="1A1A1A"/>
          <w:spacing w:val="0"/>
          <w:sz w:val="22"/>
          <w:u w:val="none"/>
        </w:rPr>
        <w:t>校验逻辑</w:t>
      </w:r>
      <w:r>
        <w:rPr>
          <w:rFonts w:hint="eastAsia" w:ascii="微软雅黑" w:hAnsi="微软雅黑" w:eastAsia="微软雅黑" w:cs="微软雅黑"/>
          <w:b w:val="1"/>
          <w:i w:val="0"/>
          <w:strike w:val="0"/>
          <w:color w:val="1A1A1A"/>
          <w:spacing w:val="0"/>
          <w:sz w:val="21"/>
          <w:u w:val="none"/>
        </w:rPr>
        <w:t>：</w:t>
      </w:r>
      <w:r>
        <w:rPr>
          <w:i w:val="0"/>
          <w:strike w:val="0"/>
          <w:spacing w:val="0"/>
          <w:u w:val="none"/>
        </w:rPr>
        <w:t>!!Gyre Cap Table 05.31.26【新】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rFonts w:hint="eastAsia"/>
        </w:rPr>
        <w:t>【</w:t>
      </w:r>
      <w:r>
        <w:rPr>
          <w:i w:val="0"/>
          <w:strike w:val="0"/>
          <w:spacing w:val="0"/>
          <w:u w:val="none"/>
        </w:rPr>
        <w:t>2025 BC Subplan Transfer (</w:t>
      </w:r>
      <w:r>
        <w:rPr>
          <w:rFonts w:hint="eastAsia"/>
          <w:i w:val="0"/>
          <w:strike w:val="0"/>
          <w:spacing w:val="0"/>
          <w:u w:val="none"/>
        </w:rPr>
        <w:t>1</w:t>
      </w:r>
      <w:r>
        <w:rPr>
          <w:i w:val="0"/>
          <w:strike w:val="0"/>
          <w:spacing w:val="0"/>
          <w:u w:val="none"/>
        </w:rPr>
        <w:t>)</w:t>
      </w:r>
      <w:r>
        <w:rPr>
          <w:rFonts w:hint="eastAsia"/>
        </w:rPr>
        <w:t>】页面进行计算，</w:t>
      </w:r>
      <w:r>
        <w:rPr>
          <w:rFonts w:hint="eastAsia"/>
          <w:shd w:val="clear" w:color="auto" w:fill="FFF9E3"/>
        </w:rPr>
        <w:t>此处futu应该有原始表格，待提供</w:t>
      </w:r>
    </w:p>
    <w:p>
      <w:pPr>
        <w:numPr/>
        <w:pBdr/>
        <w:ind w:leftChars="0" w:firstLineChars="0"/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  <w:t xml:space="preserve">2025 BC Subplan shares transferred to Futu </w:t>
      </w:r>
    </w:p>
    <w:p>
      <w:pPr>
        <w:numPr/>
        <w:pBdr>
          <w:bottom/>
        </w:pBdr>
        <w:ind w:leftChars="0" w:firstLineChars="0"/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  <w:t>= 518,797+50000+30,878+30,779+30390+540+33,780=695,164</w:t>
      </w:r>
    </w:p>
    <w:p>
      <w:pPr>
        <w:numPr/>
        <w:pBdr/>
        <w:ind w:leftChars="0" w:firstLineChars="0"/>
        <w:rPr>
          <w:rFonts w:hint="eastAsia" w:ascii="微软雅黑" w:hAnsi="微软雅黑" w:eastAsia="微软雅黑" w:cs="微软雅黑"/>
          <w:b w:val="0"/>
          <w:i w:val="0"/>
          <w:strike w:val="0"/>
          <w:color w:val="1A1A1A"/>
          <w:spacing w:val="0"/>
          <w:sz w:val="21"/>
          <w:u w:val="none"/>
        </w:rPr>
      </w:pPr>
      <w:r>
        <w:rPr/>
        <w:drawing>
          <wp:inline distT="0" distB="0" distL="0" distR="0">
            <wp:extent cx="5278120" cy="2440663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278120" cy="2440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Chars="0" w:firstLineChars="0"/>
        <w:rPr>
          <w:rFonts w:ascii="微软雅黑" w:hAnsi="微软雅黑" w:eastAsia="微软雅黑" w:cs="微软雅黑"/>
        </w:rPr>
      </w:pPr>
    </w:p>
    <w:p>
      <w:pPr>
        <w:numPr/>
        <w:pBdr/>
        <w:ind w:leftChars="0" w:firstLineChars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PS：对比实际发生与计划值，可能会有差异，作为检查点，有差异请在计划导入页面，让用户确认选择哪个值。</w:t>
      </w:r>
    </w:p>
    <w:tbl>
      <w:tblPr>
        <w:tblStyle w:val="000015"/>
        <w:tblLayout w:type="fixed"/>
        <w:tblLook/>
      </w:tblPr>
      <w:tblGrid>
        <w:gridCol w:w="1234"/>
        <w:gridCol w:w="1510"/>
        <w:gridCol w:w="1737"/>
        <w:gridCol w:w="2484"/>
        <w:gridCol w:w="1333"/>
      </w:tblGrid>
      <w:tr>
        <w:trPr>
          <w:wBefore/>
          <w:trHeight w:val="304"/>
        </w:trPr>
        <w:tc>
          <w:tcPr>
            <w:tcW w:w="448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i w:val="0"/>
                <w:strike w:val="0"/>
                <w:spacing w:val="0"/>
                <w:u w:val="none"/>
              </w:rPr>
              <w:t>2025 BC Subplan Transfer (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1</w:t>
            </w:r>
            <w:r>
              <w:rPr>
                <w:i w:val="0"/>
                <w:strike w:val="0"/>
                <w:spacing w:val="0"/>
                <w:u w:val="none"/>
              </w:rPr>
              <w:t>)</w:t>
            </w:r>
          </w:p>
        </w:tc>
        <w:tc>
          <w:tcPr>
            <w:tcW w:w="38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control book</w:t>
            </w:r>
          </w:p>
        </w:tc>
      </w:tr>
      <w:tr>
        <w:trPr>
          <w:wBefore/>
          <w:trHeight w:val="336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计划月份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数量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对比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数量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实际发生</w:t>
            </w:r>
          </w:p>
        </w:tc>
      </w:tr>
      <w:tr>
        <w:trPr>
          <w:wBefore/>
          <w:trHeight w:val="336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2025-11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518,797</w:t>
            </w:r>
          </w:p>
        </w:tc>
        <w:tc>
          <w:tcPr>
            <w:tcW w:w="173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568797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568,797 </w:t>
            </w:r>
          </w:p>
        </w:tc>
        <w:tc>
          <w:tcPr>
            <w:tcW w:w="13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2025-12</w:t>
            </w:r>
          </w:p>
        </w:tc>
      </w:tr>
      <w:tr>
        <w:trPr>
          <w:wBefore/>
          <w:trHeight w:val="304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50000</w:t>
            </w:r>
          </w:p>
        </w:tc>
        <w:tc>
          <w:tcPr>
            <w:tcW w:w="1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24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3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rPr>
          <w:wBefore/>
          <w:trHeight w:val="336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2025-12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30,878</w:t>
            </w:r>
          </w:p>
        </w:tc>
        <w:tc>
          <w:tcPr>
            <w:tcW w:w="173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61657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61,657 </w:t>
            </w:r>
          </w:p>
        </w:tc>
        <w:tc>
          <w:tcPr>
            <w:tcW w:w="13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2026-01</w:t>
            </w:r>
          </w:p>
        </w:tc>
      </w:tr>
      <w:tr>
        <w:trPr>
          <w:wBefore/>
          <w:trHeight w:val="336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2026-01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30,779</w:t>
            </w:r>
          </w:p>
        </w:tc>
        <w:tc>
          <w:tcPr>
            <w:tcW w:w="1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24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3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rPr>
          <w:wBefore/>
          <w:trHeight w:val="336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2026-02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30390</w:t>
            </w:r>
          </w:p>
        </w:tc>
        <w:tc>
          <w:tcPr>
            <w:tcW w:w="17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30,390 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2026-03</w:t>
            </w:r>
          </w:p>
        </w:tc>
      </w:tr>
      <w:tr>
        <w:trPr>
          <w:wBefore/>
          <w:trHeight w:val="304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540</w:t>
            </w:r>
          </w:p>
        </w:tc>
        <w:tc>
          <w:tcPr>
            <w:tcW w:w="173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34320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34,321</w:t>
            </w:r>
          </w:p>
        </w:tc>
        <w:tc>
          <w:tcPr>
            <w:tcW w:w="133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2026-04</w:t>
            </w:r>
          </w:p>
        </w:tc>
      </w:tr>
      <w:tr>
        <w:trPr>
          <w:wBefore/>
          <w:trHeight w:val="336"/>
        </w:trPr>
        <w:tc>
          <w:tcPr>
            <w:tcW w:w="1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2026-03</w:t>
            </w:r>
          </w:p>
        </w:tc>
        <w:tc>
          <w:tcPr>
            <w:tcW w:w="15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33,780</w:t>
            </w:r>
          </w:p>
        </w:tc>
        <w:tc>
          <w:tcPr>
            <w:tcW w:w="173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248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top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3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bottom w:w="0" w:type="dxa"/>
            </w:tcMar>
            <w:vAlign w:val="top"/>
          </w:tcPr>
          <w:p>
            <w:pPr>
              <w:numPr/>
              <w:snapToGrid w:val="1"/>
              <w:spacing w:line="240"/>
              <w:ind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numPr/>
        <w:pBdr/>
        <w:ind w:leftChars="0" w:firstLineChars="0"/>
        <w:jc w:val="both"/>
        <w:rPr/>
      </w:pPr>
      <w:r>
        <w:rPr>
          <w:rFonts w:hint="eastAsia"/>
        </w:rPr>
        <w:t>不确认的话，首页的captable会有差异</w:t>
      </w:r>
    </w:p>
    <w:tbl>
      <w:tblPr>
        <w:tblStyle w:val="000015"/>
        <w:tblLayout w:type="fixed"/>
      </w:tblPr>
      <w:tblGrid>
        <w:gridCol w:w="5130"/>
        <w:gridCol w:w="4245"/>
        <w:gridCol w:w="4245"/>
      </w:tblGrid>
      <w:tr>
        <w:trPr>
          <w:trHeight w:val="33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0"/>
                <w:u w:val="none"/>
              </w:rPr>
              <w:t>Description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pBdr/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# of Common Shares Equivalent</w:t>
            </w:r>
          </w:p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 xml:space="preserve">from </w:t>
            </w:r>
            <w:r>
              <w:rPr>
                <w:i w:val="0"/>
                <w:strike w:val="0"/>
                <w:spacing w:val="0"/>
                <w:u w:val="none"/>
              </w:rPr>
              <w:t>2025 BC Subplan Transfer (</w:t>
            </w:r>
            <w:r>
              <w:rPr>
                <w:rFonts w:hint="eastAsia"/>
                <w:i w:val="0"/>
                <w:strike w:val="0"/>
                <w:spacing w:val="0"/>
                <w:u w:val="none"/>
              </w:rPr>
              <w:t>1</w:t>
            </w:r>
            <w:r>
              <w:rPr>
                <w:i w:val="0"/>
                <w:strike w:val="0"/>
                <w:spacing w:val="0"/>
                <w:u w:val="none"/>
              </w:rPr>
              <w:t>)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numPr/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# of Common Shares Equivalent</w:t>
            </w:r>
          </w:p>
          <w:p>
            <w:pPr>
              <w:numPr/>
              <w:pBdr>
                <w:bottom/>
              </w:pBdr>
              <w:snapToGrid w:val="1"/>
              <w:spacing w:before="0" w:after="0" w:line="240"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from </w:t>
            </w: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0"/>
                <w:u w:val="none"/>
              </w:rPr>
              <w:t>control book</w:t>
            </w:r>
          </w:p>
        </w:tc>
      </w:tr>
      <w:tr>
        <w:trPr>
          <w:trHeight w:val="35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auto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auto"/>
              </w:rPr>
              <w:t>Common Shares OS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91,466,285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CAEDFB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91,466,284</w:t>
            </w:r>
          </w:p>
        </w:tc>
      </w:tr>
      <w:tr>
        <w:trPr>
          <w:trHeight w:val="35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auto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auto"/>
              </w:rPr>
              <w:t>Cullgen common stock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14,450,527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14,450,527</w:t>
            </w:r>
          </w:p>
        </w:tc>
      </w:tr>
      <w:tr>
        <w:trPr>
          <w:trHeight w:val="35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auto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auto"/>
              </w:rPr>
              <w:t>BCI Shares Held by Futu Futu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4,876,873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4,876,873</w:t>
            </w:r>
          </w:p>
        </w:tc>
      </w:tr>
      <w:tr>
        <w:trPr>
          <w:trHeight w:val="360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auto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auto"/>
              </w:rPr>
              <w:t>2025 BC Subplan shares transferred to Futu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CAEDFB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695,164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CAEDFB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695,165</w:t>
            </w:r>
          </w:p>
        </w:tc>
      </w:tr>
      <w:tr>
        <w:trPr>
          <w:trHeight w:val="35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auto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auto"/>
              </w:rPr>
              <w:t>Warrants for Convertible Preferred Stock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540,666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540,666</w:t>
            </w:r>
          </w:p>
        </w:tc>
      </w:tr>
      <w:tr>
        <w:trPr>
          <w:trHeight w:val="35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auto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left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auto"/>
              </w:rPr>
              <w:t>Options Outstanding- G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CAEDFB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13,690,894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CAEDFB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18"/>
                <w:u w:val="none"/>
              </w:rPr>
              <w:t>13,690,893</w:t>
            </w:r>
          </w:p>
        </w:tc>
      </w:tr>
      <w:tr>
        <w:trPr>
          <w:trHeight w:val="35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auto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>
                <w:shd w:val="clear" w:color="auto" w:fill="auto"/>
              </w:rPr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  <w:shd w:val="clear" w:color="auto" w:fill="auto"/>
              </w:rPr>
              <w:t>Options Available- G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3,639,230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3,639,230</w:t>
            </w:r>
          </w:p>
        </w:tc>
      </w:tr>
      <w:tr>
        <w:trPr>
          <w:trHeight w:val="35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Options Outstanding- C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4,156,815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4,156,815</w:t>
            </w:r>
          </w:p>
        </w:tc>
      </w:tr>
      <w:tr>
        <w:trPr>
          <w:trHeight w:val="355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/>
            </w:pPr>
            <w:r>
              <w:rPr>
                <w:rFonts w:ascii="微软雅黑" w:hAnsi="微软雅黑" w:eastAsia="微软雅黑" w:cs="微软雅黑"/>
                <w:i w:val="0"/>
                <w:strike w:val="0"/>
                <w:color w:val="000000"/>
                <w:spacing w:val="0"/>
                <w:sz w:val="22"/>
                <w:u w:val="none"/>
              </w:rPr>
              <w:t>Options Available- C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10,994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10,994</w:t>
            </w:r>
          </w:p>
        </w:tc>
      </w:tr>
      <w:tr>
        <w:trPr>
          <w:trHeight w:val="340"/>
        </w:trPr>
        <w:tc>
          <w:tcPr>
            <w:tcW w:w="5130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both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Total Fully Diluted Shares Outstanding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F2CEEF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133,527,448</w:t>
            </w:r>
          </w:p>
        </w:tc>
        <w:tc>
          <w:tcPr>
            <w:tcW w:w="4245" w:type="dxa"/>
            <w:tcBorders>
              <w:top w:val="single" w:color="cbcdd1" w:sz="8" w:space="0"/>
              <w:left w:val="single" w:color="cbcdd1" w:sz="8" w:space="0"/>
              <w:bottom w:val="single" w:color="cbcdd1" w:sz="8" w:space="0"/>
              <w:right w:val="single" w:color="cbcdd1" w:sz="8" w:space="0"/>
            </w:tcBorders>
            <w:shd w:val="clear" w:color="auto" w:fill="F2CEEF"/>
            <w:tcMar>
              <w:bottom w:w="0" w:type="dxa"/>
            </w:tcMar>
            <w:vAlign w:val="bottom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微软雅黑" w:hAnsi="微软雅黑" w:eastAsia="微软雅黑" w:cs="微软雅黑"/>
                <w:b w:val="1"/>
                <w:i w:val="0"/>
                <w:strike w:val="0"/>
                <w:color w:val="000000"/>
                <w:spacing w:val="0"/>
                <w:sz w:val="18"/>
                <w:u w:val="none"/>
              </w:rPr>
              <w:t>133,527,447</w:t>
            </w:r>
          </w:p>
        </w:tc>
      </w:tr>
    </w:tbl>
    <w:p>
      <w:pPr>
        <w:pStyle w:val="000001"/>
        <w:numPr/>
        <w:rPr>
          <w:rFonts w:hint="eastAsia"/>
          <w:i w:val="0"/>
          <w:strike w:val="0"/>
          <w:spacing w:val="0"/>
          <w:sz w:val="22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</w:p>
    <w:p>
      <w:pPr>
        <w:pStyle w:val="000003"/>
        <w:numPr>
          <w:ilvl w:val="0"/>
          <w:numId w:val="3"/>
        </w:numPr>
        <w:rPr>
          <w:b w:val="1"/>
          <w:i w:val="0"/>
          <w:strike w:val="0"/>
          <w:spacing w:val="0"/>
          <w:sz w:val="22"/>
          <w:u w:val="none"/>
        </w:rPr>
      </w:pPr>
      <w:r>
        <w:rPr>
          <w:b w:val="1"/>
          <w:i w:val="0"/>
          <w:strike w:val="0"/>
          <w:spacing w:val="0"/>
          <w:sz w:val="22"/>
          <w:u w:val="none"/>
        </w:rPr>
        <w:t>Warrants for Convertible Preferred Stock</w:t>
      </w:r>
    </w:p>
    <w:p>
      <w:pPr>
        <w:pStyle w:val="000001"/>
        <w:numPr/>
        <w:pBdr>
          <w:bottom/>
        </w:pBdr>
        <w:ind/>
        <w:rPr/>
      </w:pPr>
      <w:r>
        <w:rPr>
          <w:rFonts w:hint="eastAsia"/>
          <w:i w:val="0"/>
          <w:strike w:val="0"/>
          <w:spacing w:val="0"/>
          <w:sz w:val="22"/>
          <w:u w:val="none"/>
        </w:rPr>
        <w:t>一般不变为固定值，</w:t>
      </w:r>
      <w:r>
        <w:rPr>
          <w:rFonts w:hint="eastAsia"/>
          <w:i w:val="0"/>
          <w:strike w:val="0"/>
          <w:spacing w:val="0"/>
          <w:u w:val="none"/>
        </w:rPr>
        <w:t>540,666支持修改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</w:p>
    <w:p>
      <w:pPr>
        <w:pStyle w:val="000003"/>
        <w:numPr>
          <w:ilvl w:val="0"/>
          <w:numId w:val="3"/>
        </w:numPr>
        <w:pBdr>
          <w:bottom/>
        </w:pBdr>
        <w:ind/>
        <w:rPr/>
      </w:pPr>
      <w:r>
        <w:rPr>
          <w:b w:val="1"/>
          <w:i w:val="0"/>
          <w:strike w:val="0"/>
          <w:spacing w:val="0"/>
          <w:u w:val="none"/>
        </w:rPr>
        <w:t>O</w:t>
      </w:r>
      <w:r>
        <w:rPr/>
        <w:t>ptions Outstanding与Options Available</w:t>
      </w:r>
    </w:p>
    <w:p>
      <w:pPr>
        <w:pStyle w:val="000001"/>
        <w:numPr>
          <w:ilvl w:val="0"/>
          <w:numId w:val="5"/>
        </w:numPr>
        <w:pBdr>
          <w:bottom/>
        </w:pBdr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>母公司Cullgen和子公司Gyre分别统计，其中母公司：</w:t>
      </w:r>
    </w:p>
    <w:p>
      <w:pPr>
        <w:pStyle w:val="000001"/>
        <w:numPr/>
        <w:pBdr>
          <w:bottom/>
        </w:pBdr>
        <w:ind/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>Options Outstanding- Cullgen= 4,156,815，</w:t>
      </w:r>
    </w:p>
    <w:p>
      <w:pPr>
        <w:pStyle w:val="000001"/>
        <w:numPr/>
        <w:pBdr>
          <w:bottom/>
        </w:pBdr>
        <w:ind/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 xml:space="preserve">Options Available- Cullgen=10,994 </w:t>
      </w:r>
    </w:p>
    <w:p>
      <w:pPr>
        <w:pStyle w:val="000001"/>
        <w:numPr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numPr>
          <w:ilvl w:val="0"/>
          <w:numId w:val="5"/>
        </w:numPr>
        <w:pBdr>
          <w:bottom/>
        </w:pBdr>
        <w:ind/>
        <w:rPr>
          <w:rFonts w:hint="eastAsia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>其中子公司</w:t>
      </w:r>
      <w:r>
        <w:rPr>
          <w:i w:val="0"/>
          <w:strike w:val="0"/>
          <w:spacing w:val="0"/>
          <w:u w:val="none"/>
        </w:rPr>
        <w:t>Gyre</w:t>
      </w:r>
      <w:r>
        <w:rPr>
          <w:rFonts w:hint="eastAsia"/>
          <w:i w:val="0"/>
          <w:strike w:val="0"/>
          <w:spacing w:val="0"/>
          <w:u w:val="none"/>
        </w:rPr>
        <w:t>，</w:t>
      </w:r>
      <w:r>
        <w:rPr>
          <w:rFonts w:hint="eastAsia"/>
          <w:i w:val="0"/>
          <w:strike w:val="0"/>
          <w:spacing w:val="0"/>
          <w:sz w:val="22"/>
          <w:u w:val="none"/>
        </w:rPr>
        <w:t>主要来源是shareworks中的Option Plans Summary表格。根据系统配置跟踪几个计划</w:t>
      </w:r>
      <w:r>
        <w:rPr>
          <w:i w:val="0"/>
          <w:strike w:val="0"/>
          <w:spacing w:val="0"/>
          <w:u w:val="none"/>
        </w:rPr>
        <w:t>!!Gyre Cap Table 05.31.26【新】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rFonts w:hint="eastAsia"/>
        </w:rPr>
        <w:t>【</w:t>
      </w:r>
      <w:r>
        <w:rPr>
          <w:i w:val="0"/>
          <w:strike w:val="0"/>
          <w:spacing w:val="0"/>
          <w:u w:val="none"/>
        </w:rPr>
        <w:t>Option Plans Summary</w:t>
      </w:r>
      <w:r>
        <w:rPr>
          <w:rFonts w:hint="eastAsia"/>
        </w:rPr>
        <w:t>】共6个计划：</w:t>
      </w:r>
    </w:p>
    <w:p>
      <w:pPr>
        <w:numPr/>
        <w:pBdr/>
        <w:ind w:left="0"/>
        <w:rPr>
          <w:rFonts w:hint="eastAsia"/>
        </w:rPr>
      </w:pPr>
      <w:r>
        <w:rPr/>
        <w:drawing>
          <wp:inline distT="0" distB="0" distL="0" distR="0">
            <wp:extent cx="5278120" cy="296057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rcRect/>
                    <a:stretch/>
                  </pic:blipFill>
                  <pic:spPr>
                    <a:xfrm>
                      <a:off x="0" y="0"/>
                      <a:ext cx="5278120" cy="296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本页面来源于：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《</w:t>
      </w:r>
      <w:r>
        <w:rPr>
          <w:i w:val="0"/>
          <w:strike w:val="0"/>
          <w:spacing w:val="0"/>
          <w:u w:val="none"/>
        </w:rPr>
        <w:t>02-6-2026_14-52-26_MDT_Clone_Of_!Gyre_Option_Plans_Summary_SL.xlsx</w:t>
      </w:r>
      <w:r>
        <w:rPr>
          <w:rFonts w:hint="eastAsia"/>
        </w:rPr>
        <w:t>》</w:t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各计划更新字段逻辑：</w:t>
      </w:r>
    </w:p>
    <w:tbl>
      <w:tblPr>
        <w:tblStyle w:val="000015"/>
        <w:tblLayout w:type="fixed"/>
        <w:tblLook w:firstRow="1" w:lastRow="0" w:firstColumn="1" w:lastColumn="0" w:noHBand="0" w:noVBand="1"/>
      </w:tblPr>
      <w:tblGrid>
        <w:gridCol w:w="1855"/>
        <w:gridCol w:w="2347"/>
        <w:gridCol w:w="2047"/>
        <w:gridCol w:w="2047"/>
      </w:tblGrid>
      <w:tr>
        <w:trPr>
          <w:wBefore/>
          <w:trHeight/>
        </w:trPr>
        <w:tc>
          <w:tcPr>
            <w:tcW w:w="1855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计划名称（黄色为futu管理，其他为shareworks）</w:t>
            </w:r>
          </w:p>
        </w:tc>
        <w:tc>
          <w:tcPr>
            <w:tcW w:w="23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Option Plans Summary</w:t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i w:val="0"/>
                <w:strike w:val="0"/>
                <w:spacing w:val="0"/>
                <w:u w:val="none"/>
              </w:rPr>
              <w:t>Gyre_Option_Plans_Summary_SL.xlsx</w:t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补充说明</w:t>
            </w:r>
          </w:p>
        </w:tc>
      </w:tr>
      <w:tr>
        <w:trPr>
          <w:wBefore/>
          <w:trHeight/>
        </w:trPr>
        <w:tc>
          <w:tcPr>
            <w:tcW w:w="1855" w:type="dxa"/>
          </w:tcPr>
          <w:p>
            <w:pPr>
              <w:pStyle w:val="000001"/>
              <w:numPr/>
              <w:pBdr>
                <w:bottom/>
              </w:pBdr>
              <w:ind w:left="0"/>
              <w:jc w:val="left"/>
              <w:rPr>
                <w:rFonts w:hint="eastAsia"/>
                <w:shd w:val="clear" w:color="auto" w:fill="FFFF00"/>
              </w:rPr>
            </w:pPr>
            <w:r>
              <w:rPr>
                <w:i w:val="0"/>
                <w:strike w:val="0"/>
                <w:spacing w:val="0"/>
                <w:u w:val="none"/>
                <w:shd w:val="clear" w:color="auto" w:fill="FFFF00"/>
              </w:rPr>
              <w:t>GYRE 2025 BC Subplan</w:t>
            </w:r>
          </w:p>
        </w:tc>
        <w:tc>
          <w:tcPr>
            <w:tcW w:w="23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86865" cy="464696"/>
                  <wp:effectExtent l="0" t="0" r="0" b="0"/>
                  <wp:docPr id="2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picture" descr="descript"/>
                          <pic:cNvPicPr/>
                        </pic:nvPicPr>
                        <pic:blipFill rotWithShape="1">
                          <a:blip r:embed="rId13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86865" cy="4646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01140" cy="384258"/>
                  <wp:effectExtent l="0" t="0" r="0" b="0"/>
                  <wp:docPr id="2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picture" descr="descript"/>
                          <pic:cNvPicPr/>
                        </pic:nvPicPr>
                        <pic:blipFill rotWithShape="1">
                          <a:blip r:embed="rId1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1140" cy="3842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cacel表格中没有，需要从futu表中获取</w:t>
            </w:r>
          </w:p>
        </w:tc>
      </w:tr>
      <w:tr>
        <w:trPr>
          <w:wBefore/>
          <w:trHeight/>
        </w:trPr>
        <w:tc>
          <w:tcPr>
            <w:tcW w:w="1855" w:type="dxa"/>
          </w:tcPr>
          <w:p>
            <w:pPr>
              <w:pStyle w:val="000001"/>
              <w:numPr/>
              <w:pBdr>
                <w:bottom/>
              </w:pBdr>
              <w:ind w:left="0"/>
              <w:jc w:val="left"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GYRE 2023 Omnibus Incentive Plan</w:t>
            </w:r>
          </w:p>
        </w:tc>
        <w:tc>
          <w:tcPr>
            <w:tcW w:w="23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86865" cy="574485"/>
                  <wp:effectExtent l="0" t="0" r="0" b="0"/>
                  <wp:docPr id="32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" name="picture" descr="descript"/>
                          <pic:cNvPicPr/>
                        </pic:nvPicPr>
                        <pic:blipFill rotWithShape="1">
                          <a:blip r:embed="rId15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86865" cy="5744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01140" cy="494327"/>
                  <wp:effectExtent l="0" t="0" r="0" b="0"/>
                  <wp:docPr id="3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picture" descr="descript"/>
                          <pic:cNvPicPr/>
                        </pic:nvPicPr>
                        <pic:blipFill rotWithShape="1">
                          <a:blip r:embed="rId16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1140" cy="4943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options outstandings 为什么要变成0</w:t>
            </w:r>
          </w:p>
        </w:tc>
      </w:tr>
      <w:tr>
        <w:trPr>
          <w:wBefore/>
          <w:trHeight/>
        </w:trPr>
        <w:tc>
          <w:tcPr>
            <w:tcW w:w="1855" w:type="dxa"/>
          </w:tcPr>
          <w:p>
            <w:pPr>
              <w:numPr/>
              <w:pBdr>
                <w:bottom/>
              </w:pBdr>
              <w:ind/>
              <w:rPr>
                <w:rFonts w:hint="eastAsia"/>
                <w:i w:val="0"/>
                <w:strike w:val="0"/>
                <w:spacing w:val="0"/>
                <w:sz w:val="22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  <w:shd w:val="clear" w:color="auto" w:fill="FFFF00"/>
              </w:rPr>
              <w:t>GYRE 2023 China Subplan (Plan exhausted)</w:t>
            </w:r>
          </w:p>
        </w:tc>
        <w:tc>
          <w:tcPr>
            <w:tcW w:w="23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86865" cy="570468"/>
                  <wp:effectExtent l="0" t="0" r="0" b="0"/>
                  <wp:docPr id="3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9" name="picture" descr="descript"/>
                          <pic:cNvPicPr/>
                        </pic:nvPicPr>
                        <pic:blipFill rotWithShape="1">
                          <a:blip r:embed="rId17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86865" cy="5704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01140" cy="552168"/>
                  <wp:effectExtent l="0" t="0" r="0" b="0"/>
                  <wp:docPr id="4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picture" descr="descript"/>
                          <pic:cNvPicPr/>
                        </pic:nvPicPr>
                        <pic:blipFill rotWithShape="1">
                          <a:blip r:embed="rId18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1140" cy="5521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均为0</w:t>
            </w:r>
          </w:p>
        </w:tc>
      </w:tr>
      <w:tr>
        <w:trPr>
          <w:wBefore/>
          <w:trHeight/>
        </w:trPr>
        <w:tc>
          <w:tcPr>
            <w:tcW w:w="1855" w:type="dxa"/>
          </w:tcPr>
          <w:p>
            <w:pPr>
              <w:pStyle w:val="000001"/>
              <w:numPr/>
              <w:pBdr>
                <w:bottom/>
              </w:pBdr>
              <w:ind w:left="0"/>
              <w:jc w:val="left"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GYRE 2023 Non-China BCI grants</w:t>
            </w:r>
          </w:p>
        </w:tc>
        <w:tc>
          <w:tcPr>
            <w:tcW w:w="23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86865" cy="678339"/>
                  <wp:effectExtent l="0" t="0" r="0" b="0"/>
                  <wp:docPr id="4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" name="picture" descr="descript"/>
                          <pic:cNvPicPr/>
                        </pic:nvPicPr>
                        <pic:blipFill rotWithShape="1">
                          <a:blip r:embed="rId19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86865" cy="6783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01140" cy="559497"/>
                  <wp:effectExtent l="0" t="0" r="0" b="0"/>
                  <wp:docPr id="4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8" name="picture" descr="descript"/>
                          <pic:cNvPicPr/>
                        </pic:nvPicPr>
                        <pic:blipFill rotWithShape="1">
                          <a:blip r:embed="rId20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1140" cy="5594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可以直接同步</w:t>
            </w:r>
          </w:p>
        </w:tc>
      </w:tr>
      <w:tr>
        <w:trPr>
          <w:wBefore/>
          <w:trHeight/>
        </w:trPr>
        <w:tc>
          <w:tcPr>
            <w:tcW w:w="1855" w:type="dxa"/>
          </w:tcPr>
          <w:p>
            <w:pPr>
              <w:pStyle w:val="000001"/>
              <w:numPr/>
              <w:pBdr>
                <w:bottom/>
              </w:pBdr>
              <w:ind w:left="0"/>
              <w:jc w:val="left"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2018 Omnibus Incentive Pla</w:t>
            </w:r>
          </w:p>
        </w:tc>
        <w:tc>
          <w:tcPr>
            <w:tcW w:w="23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86865" cy="550628"/>
                  <wp:effectExtent l="0" t="0" r="0" b="0"/>
                  <wp:docPr id="5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1" name="picture" descr="descript"/>
                          <pic:cNvPicPr/>
                        </pic:nvPicPr>
                        <pic:blipFill rotWithShape="1">
                          <a:blip r:embed="rId21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86865" cy="55062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01140" cy="546254"/>
                  <wp:effectExtent l="0" t="0" r="0" b="0"/>
                  <wp:docPr id="5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picture" descr="descript"/>
                          <pic:cNvPicPr/>
                        </pic:nvPicPr>
                        <pic:blipFill rotWithShape="1">
                          <a:blip r:embed="rId22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1140" cy="54625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可以直接同步</w:t>
            </w:r>
          </w:p>
        </w:tc>
      </w:tr>
      <w:tr>
        <w:trPr>
          <w:wBefore/>
          <w:trHeight/>
        </w:trPr>
        <w:tc>
          <w:tcPr>
            <w:tcW w:w="1855" w:type="dxa"/>
          </w:tcPr>
          <w:p>
            <w:pPr>
              <w:pStyle w:val="000001"/>
              <w:numPr/>
              <w:pBdr>
                <w:bottom/>
              </w:pBdr>
              <w:ind w:left="0"/>
              <w:jc w:val="left"/>
              <w:rPr>
                <w:i w:val="0"/>
                <w:strike w:val="0"/>
                <w:spacing w:val="0"/>
                <w:u w:val="none"/>
              </w:rPr>
            </w:pPr>
            <w:r>
              <w:rPr>
                <w:i w:val="0"/>
                <w:strike w:val="0"/>
                <w:spacing w:val="0"/>
                <w:u w:val="none"/>
              </w:rPr>
              <w:t>CBIO 2015 Stock Incentive Pla</w:t>
            </w:r>
          </w:p>
        </w:tc>
        <w:tc>
          <w:tcPr>
            <w:tcW w:w="23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86865" cy="691348"/>
                  <wp:effectExtent l="0" t="0" r="0" b="0"/>
                  <wp:docPr id="56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" name="picture" descr="descript"/>
                          <pic:cNvPicPr/>
                        </pic:nvPicPr>
                        <pic:blipFill rotWithShape="1">
                          <a:blip r:embed="rId23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86865" cy="6913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/>
              <w:drawing>
                <wp:inline distT="0" distB="0" distL="0" distR="0">
                  <wp:extent cx="1501140" cy="540326"/>
                  <wp:effectExtent l="0" t="0" r="0" b="0"/>
                  <wp:docPr id="59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picture" descr="descript"/>
                          <pic:cNvPicPr/>
                        </pic:nvPicPr>
                        <pic:blipFill rotWithShape="1">
                          <a:blip r:embed="rId24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1140" cy="5403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7" w:type="dxa"/>
          </w:tcPr>
          <w:p>
            <w:pPr>
              <w:numPr/>
              <w:ind/>
              <w:rPr>
                <w:rFonts w:hint="eastAsia"/>
              </w:rPr>
            </w:pPr>
            <w:r>
              <w:rPr>
                <w:rFonts w:hint="eastAsia"/>
              </w:rPr>
              <w:t>可以直接同步</w:t>
            </w:r>
          </w:p>
        </w:tc>
      </w:tr>
    </w:tbl>
    <w:p>
      <w:pPr>
        <w:numPr/>
        <w:pBdr>
          <w:bottom/>
        </w:pBdr>
        <w:ind w:left="0"/>
        <w:rPr>
          <w:rFonts w:hint="eastAsia"/>
        </w:rPr>
      </w:pPr>
      <w:r>
        <w:rPr>
          <w:rFonts w:hint="eastAsia"/>
        </w:rPr>
        <w:t>还需更新汇总值，在首页的汇总表中需要做计算C71、D71</w:t>
      </w:r>
    </w:p>
    <w:p>
      <w:pPr>
        <w:numPr/>
        <w:pBdr>
          <w:bottom/>
        </w:pBdr>
        <w:ind w:left="0"/>
        <w:rPr>
          <w:rFonts w:hint="eastAsia"/>
        </w:rPr>
      </w:pPr>
      <w:r>
        <w:rPr/>
        <w:drawing>
          <wp:inline distT="0" distB="0" distL="0" distR="0">
            <wp:extent cx="5278120" cy="1074702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1">
                    <a:blip r:embed="rId25"/>
                    <a:srcRect/>
                    <a:stretch/>
                  </pic:blipFill>
                  <pic:spPr>
                    <a:xfrm>
                      <a:off x="0" y="0"/>
                      <a:ext cx="5278120" cy="1074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000015"/>
        <w:tblInd w:w="-17" w:type="dxa"/>
        <w:tblLayout w:type="fixed"/>
      </w:tblPr>
      <w:tblGrid>
        <w:gridCol w:w="4397"/>
        <w:gridCol w:w="1380"/>
        <w:gridCol w:w="1410"/>
        <w:gridCol w:w="1477"/>
        <w:gridCol w:w="1798"/>
        <w:gridCol w:w="1347"/>
      </w:tblGrid>
      <w:tr>
        <w:trPr>
          <w:trHeight w:val="620"/>
        </w:trPr>
        <w:tc>
          <w:tcPr>
            <w:tcW w:w="43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Plan Name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Granted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Exercised</w:t>
            </w:r>
          </w:p>
        </w:tc>
        <w:tc>
          <w:tcPr>
            <w:tcW w:w="14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shd w:val="clear" w:color="auto" w:fill="FFDCC4"/>
              </w:rPr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DCC4"/>
              </w:rPr>
              <w:t>Cancelled</w:t>
            </w:r>
          </w:p>
        </w:tc>
        <w:tc>
          <w:tcPr>
            <w:tcW w:w="17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Options Outstanding</w:t>
            </w:r>
          </w:p>
        </w:tc>
        <w:tc>
          <w:tcPr>
            <w:tcW w:w="13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Options Available </w:t>
            </w:r>
          </w:p>
        </w:tc>
      </w:tr>
      <w:tr>
        <w:trPr>
          <w:trHeight w:val="320"/>
        </w:trPr>
        <w:tc>
          <w:tcPr>
            <w:tcW w:w="43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GYRE 2025 BC Subplan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2,100,000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4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shd w:val="clear" w:color="auto" w:fill="FFDCC4"/>
              </w:rPr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DCC4"/>
              </w:rPr>
              <w:t>-28,170</w:t>
            </w:r>
          </w:p>
        </w:tc>
        <w:tc>
          <w:tcPr>
            <w:tcW w:w="17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>
                <w:color w:val="2972F4"/>
              </w:rPr>
            </w:pPr>
            <w:r>
              <w:rPr>
                <w:rFonts w:ascii="Arial" w:hAnsi="Arial" w:cs="Arial"/>
                <w:i w:val="0"/>
                <w:strike w:val="0"/>
                <w:color w:val="2972F4"/>
                <w:spacing w:val="0"/>
                <w:sz w:val="20"/>
                <w:u w:val="none"/>
              </w:rPr>
              <w:t>2,071,830</w:t>
            </w:r>
          </w:p>
        </w:tc>
        <w:tc>
          <w:tcPr>
            <w:tcW w:w="13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trHeight w:val="320"/>
        </w:trPr>
        <w:tc>
          <w:tcPr>
            <w:tcW w:w="43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GYRE 2023 China Subplan (Plan exhausted)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4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7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3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trHeight w:val="320"/>
        </w:trPr>
        <w:tc>
          <w:tcPr>
            <w:tcW w:w="43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GYRE 2023 Omnibus Incentive Plan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3,668,418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-250,049</w:t>
            </w:r>
          </w:p>
        </w:tc>
        <w:tc>
          <w:tcPr>
            <w:tcW w:w="14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-435,000</w:t>
            </w:r>
          </w:p>
        </w:tc>
        <w:tc>
          <w:tcPr>
            <w:tcW w:w="17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2,983,369</w:t>
            </w:r>
          </w:p>
        </w:tc>
        <w:tc>
          <w:tcPr>
            <w:tcW w:w="13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3,639,230</w:t>
            </w:r>
          </w:p>
        </w:tc>
      </w:tr>
      <w:tr>
        <w:trPr>
          <w:trHeight w:val="320"/>
        </w:trPr>
        <w:tc>
          <w:tcPr>
            <w:tcW w:w="43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GYRE 2023 Non-China BCI grants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9,202,609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-210,417</w:t>
            </w:r>
          </w:p>
        </w:tc>
        <w:tc>
          <w:tcPr>
            <w:tcW w:w="14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7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8,992,192</w:t>
            </w:r>
          </w:p>
        </w:tc>
        <w:tc>
          <w:tcPr>
            <w:tcW w:w="13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trHeight w:val="320"/>
        </w:trPr>
        <w:tc>
          <w:tcPr>
            <w:tcW w:w="43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2018 Omnibus Incentive Plan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1,554,874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-55,238</w:t>
            </w:r>
          </w:p>
        </w:tc>
        <w:tc>
          <w:tcPr>
            <w:tcW w:w="14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-1,313,701</w:t>
            </w:r>
          </w:p>
        </w:tc>
        <w:tc>
          <w:tcPr>
            <w:tcW w:w="17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185,935</w:t>
            </w:r>
          </w:p>
        </w:tc>
        <w:tc>
          <w:tcPr>
            <w:tcW w:w="13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wBefore/>
          <w:trHeight w:val="320"/>
        </w:trPr>
        <w:tc>
          <w:tcPr>
            <w:tcW w:w="43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CBIO 2015 Stock Incentive Plan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359,686</w:t>
            </w: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-13,264</w:t>
            </w:r>
          </w:p>
        </w:tc>
        <w:tc>
          <w:tcPr>
            <w:tcW w:w="14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-193,690</w:t>
            </w:r>
          </w:p>
        </w:tc>
        <w:tc>
          <w:tcPr>
            <w:tcW w:w="17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152,732</w:t>
            </w:r>
          </w:p>
        </w:tc>
        <w:tc>
          <w:tcPr>
            <w:tcW w:w="13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0</w:t>
            </w:r>
          </w:p>
        </w:tc>
      </w:tr>
      <w:tr>
        <w:trPr>
          <w:trHeight w:val="320"/>
        </w:trPr>
        <w:tc>
          <w:tcPr>
            <w:tcW w:w="439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hint="eastAsia"/>
              </w:rPr>
              <w:t>In Total</w:t>
            </w:r>
          </w:p>
        </w:tc>
        <w:tc>
          <w:tcPr>
            <w:tcW w:w="13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14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147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</w:p>
        </w:tc>
        <w:tc>
          <w:tcPr>
            <w:tcW w:w="17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14,386,058</w:t>
            </w:r>
          </w:p>
        </w:tc>
        <w:tc>
          <w:tcPr>
            <w:tcW w:w="1347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bottom w:w="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center"/>
              <w:rPr/>
            </w:pP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0"/>
                <w:u w:val="none"/>
              </w:rPr>
              <w:t>3,639,230</w:t>
            </w:r>
          </w:p>
        </w:tc>
      </w:tr>
    </w:tbl>
    <w:p>
      <w:pPr>
        <w:pStyle w:val="000001"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>因此：</w:t>
      </w:r>
    </w:p>
    <w:p>
      <w:pPr>
        <w:numPr/>
        <w:pBdr/>
        <w:snapToGrid w:val="1"/>
        <w:spacing w:before="0" w:after="0" w:line="240"/>
        <w:ind/>
        <w:jc w:val="left"/>
        <w:rPr/>
      </w:pPr>
      <w:r>
        <w:rPr/>
        <w:t>Options Outstanding- Gyre</w:t>
      </w:r>
    </w:p>
    <w:p>
      <w:pPr>
        <w:numPr/>
        <w:pBdr>
          <w:bottom/>
        </w:pBdr>
        <w:snapToGrid w:val="1"/>
        <w:spacing w:before="0" w:after="0" w:line="240"/>
        <w:ind/>
        <w:jc w:val="left"/>
        <w:rPr/>
      </w:pPr>
      <w:r>
        <w:rPr/>
        <w:t>=</w:t>
      </w:r>
      <w:r>
        <w:rPr>
          <w:rFonts w:hint="eastAsia"/>
        </w:rPr>
        <w:t>全部计划</w:t>
      </w:r>
      <w:r>
        <w:rPr/>
        <w:t>的Options Outstanding</w:t>
      </w:r>
      <w:r>
        <w:rPr>
          <w:rFonts w:hint="eastAsia"/>
        </w:rPr>
        <w:t xml:space="preserve">（即C71） - </w:t>
      </w:r>
      <w:r>
        <w:rPr>
          <w:b w:val="1"/>
          <w:i w:val="0"/>
          <w:strike w:val="0"/>
          <w:spacing w:val="0"/>
          <w:sz w:val="22"/>
          <w:u w:val="none"/>
        </w:rPr>
        <w:t>2025 BC Subplan shares transferred to Futu</w:t>
      </w:r>
      <w:r>
        <w:rPr>
          <w:rFonts w:hint="eastAsia"/>
          <w:b w:val="1"/>
          <w:i w:val="0"/>
          <w:strike w:val="0"/>
          <w:spacing w:val="0"/>
          <w:sz w:val="22"/>
          <w:u w:val="none"/>
        </w:rPr>
        <w:t xml:space="preserve"> =</w:t>
      </w:r>
      <w:r>
        <w:rPr/>
        <w:t xml:space="preserve"> 14,386,058- </w:t>
      </w:r>
      <w:r>
        <w:rPr>
          <w:shd w:val="clear" w:color="auto" w:fill="FFDCC4"/>
        </w:rPr>
        <w:t>695,165</w:t>
      </w:r>
      <w:r>
        <w:rPr/>
        <w:t xml:space="preserve"> =13,690,89</w:t>
      </w:r>
      <w:r>
        <w:rPr>
          <w:rFonts w:hint="eastAsia"/>
        </w:rPr>
        <w:t>3</w:t>
      </w:r>
    </w:p>
    <w:p>
      <w:pPr>
        <w:pStyle w:val="000001"/>
        <w:numPr/>
        <w:ind/>
        <w:rPr/>
      </w:pPr>
      <w:r>
        <w:rPr/>
        <w:t>Options Outstanding- Gyre=3,639,230</w:t>
      </w:r>
      <w:r>
        <w:rPr>
          <w:rFonts w:hint="eastAsia"/>
        </w:rPr>
        <w:t>（即D71）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>待确定</w:t>
      </w:r>
    </w:p>
    <w:p>
      <w:pPr>
        <w:pStyle w:val="000001"/>
        <w:numPr/>
        <w:pBdr/>
        <w:ind/>
        <w:rPr>
          <w:i w:val="0"/>
          <w:strike w:val="0"/>
          <w:spacing w:val="0"/>
          <w:u w:val="none"/>
          <w:shd w:val="clear" w:color="auto" w:fill="FFF3EB"/>
        </w:rPr>
      </w:pPr>
      <w:r>
        <w:rPr>
          <w:rFonts w:hint="eastAsia"/>
          <w:sz w:val="22"/>
        </w:rPr>
        <w:t>（1）</w:t>
      </w:r>
      <w:r>
        <w:rPr>
          <w:sz w:val="22"/>
        </w:rPr>
        <w:t>计划总</w:t>
      </w:r>
      <w:r>
        <w:rPr>
          <w:rFonts w:hint="eastAsia"/>
          <w:sz w:val="22"/>
        </w:rPr>
        <w:t>共要转的数量</w:t>
      </w:r>
      <w:r>
        <w:rPr>
          <w:sz w:val="22"/>
        </w:rPr>
        <w:t>2,100,000，</w:t>
      </w:r>
      <w:r>
        <w:rPr>
          <w:b w:val="1"/>
          <w:color w:val="2972F4"/>
          <w:sz w:val="22"/>
        </w:rPr>
        <w:t>取消数量</w:t>
      </w:r>
      <w:r>
        <w:rPr>
          <w:rFonts w:hint="eastAsia"/>
          <w:b w:val="1"/>
          <w:color w:val="2972F4"/>
          <w:sz w:val="22"/>
        </w:rPr>
        <w:t>28,170</w:t>
      </w:r>
      <w:r>
        <w:rPr>
          <w:sz w:val="22"/>
        </w:rPr>
        <w:t>，现在outstanding数量2,071,8</w:t>
      </w:r>
      <w:r>
        <w:rPr>
          <w:rFonts w:hint="eastAsia"/>
          <w:sz w:val="22"/>
        </w:rPr>
        <w:t>30。每个月都有取消，并且根据归属计划摊到未来的每个月上。目前的来源是</w:t>
      </w:r>
      <w:r>
        <w:rPr>
          <w:i w:val="0"/>
          <w:strike w:val="0"/>
          <w:spacing w:val="0"/>
          <w:u w:val="none"/>
        </w:rPr>
        <w:t>!!Gyre Cap Table 05.31.26【新】</w:t>
      </w:r>
      <w:r>
        <w:rPr>
          <w:rFonts w:hint="eastAsia"/>
          <w:i w:val="0"/>
          <w:strike w:val="0"/>
          <w:spacing w:val="0"/>
          <w:u w:val="none"/>
        </w:rPr>
        <w:t>-</w:t>
      </w:r>
      <w:r>
        <w:rPr>
          <w:rFonts w:hint="eastAsia"/>
        </w:rPr>
        <w:t>【</w:t>
      </w:r>
      <w:r>
        <w:rPr>
          <w:i w:val="0"/>
          <w:strike w:val="0"/>
          <w:spacing w:val="0"/>
          <w:u w:val="none"/>
        </w:rPr>
        <w:t>Option Plans Summary</w:t>
      </w:r>
      <w:r>
        <w:rPr>
          <w:rFonts w:hint="eastAsia"/>
        </w:rPr>
        <w:t>】-</w:t>
      </w:r>
      <w:r>
        <w:rPr>
          <w:i w:val="0"/>
          <w:strike w:val="0"/>
          <w:spacing w:val="0"/>
          <w:u w:val="none"/>
        </w:rPr>
        <w:t>2025 BC Subplan Transfer (2)</w:t>
      </w:r>
      <w:r>
        <w:rPr>
          <w:rFonts w:hint="eastAsia"/>
          <w:i w:val="0"/>
          <w:strike w:val="0"/>
          <w:spacing w:val="0"/>
          <w:u w:val="none"/>
        </w:rPr>
        <w:t>。</w:t>
      </w:r>
      <w:r>
        <w:rPr>
          <w:rFonts w:hint="eastAsia"/>
          <w:i w:val="0"/>
          <w:strike w:val="0"/>
          <w:spacing w:val="0"/>
          <w:u w:val="none"/>
          <w:shd w:val="clear" w:color="auto" w:fill="FFF3EB"/>
        </w:rPr>
        <w:t>后续看futu是否可以提供</w:t>
      </w:r>
    </w:p>
    <w:p>
      <w:pPr>
        <w:pStyle w:val="000001"/>
        <w:numPr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drawing>
          <wp:inline distT="0" distB="0" distL="0" distR="0">
            <wp:extent cx="5278120" cy="3114141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5278120" cy="311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numPr/>
        <w:pBdr/>
        <w:ind/>
        <w:rPr>
          <w:rFonts w:hint="eastAsia"/>
          <w:sz w:val="22"/>
        </w:rPr>
      </w:pPr>
    </w:p>
    <w:p>
      <w:pPr>
        <w:pStyle w:val="000001"/>
        <w:numPr/>
        <w:pBdr>
          <w:bottom/>
        </w:pBdr>
        <w:ind w:left="0"/>
        <w:jc w:val="left"/>
        <w:rPr>
          <w:i w:val="0"/>
          <w:strike w:val="0"/>
          <w:spacing w:val="0"/>
          <w:sz w:val="22"/>
          <w:u w:val="none"/>
        </w:rPr>
      </w:pPr>
      <w:r>
        <w:rPr>
          <w:rFonts w:hint="eastAsia"/>
          <w:color w:val="000000"/>
          <w:sz w:val="22"/>
        </w:rPr>
        <w:t>（2）</w:t>
      </w:r>
      <w:r>
        <w:rPr>
          <w:i w:val="0"/>
          <w:strike w:val="0"/>
          <w:spacing w:val="0"/>
          <w:sz w:val="22"/>
          <w:u w:val="none"/>
        </w:rPr>
        <w:t>GYRE 2023 Omnibus Incentive Plan</w:t>
      </w:r>
    </w:p>
    <w:p>
      <w:pPr>
        <w:numPr/>
        <w:pBdr>
          <w:bottom/>
        </w:pBdr>
        <w:snapToGrid w:val="1"/>
        <w:spacing w:before="0" w:after="0" w:line="240"/>
        <w:ind/>
        <w:jc w:val="both"/>
        <w:rPr>
          <w:sz w:val="22"/>
        </w:rPr>
      </w:pPr>
      <w:r>
        <w:rPr>
          <w:rFonts w:hint="eastAsia"/>
          <w:color w:val="000000"/>
          <w:sz w:val="22"/>
        </w:rPr>
        <w:t xml:space="preserve">原始表格shares for remaining inssurance 和 </w:t>
      </w:r>
      <w:r>
        <w:rPr>
          <w:rFonts w:ascii="Arial" w:hAnsi="Arial" w:cs="Arial"/>
          <w:i w:val="0"/>
          <w:strike w:val="0"/>
          <w:color w:val="000000"/>
          <w:spacing w:val="0"/>
          <w:sz w:val="22"/>
          <w:u w:val="none"/>
        </w:rPr>
        <w:t>Options Outstanding</w:t>
      </w:r>
      <w:r>
        <w:rPr>
          <w:rFonts w:hint="eastAsia" w:ascii="Arial" w:hAnsi="Arial" w:cs="Arial"/>
          <w:i w:val="0"/>
          <w:strike w:val="0"/>
          <w:color w:val="000000"/>
          <w:spacing w:val="0"/>
          <w:sz w:val="22"/>
          <w:u w:val="none"/>
        </w:rPr>
        <w:t>交叉的那一栏有数值，运营统计后归集captable中则为0，需要确认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drawing>
          <wp:inline distT="0" distB="0" distL="0" distR="0">
            <wp:extent cx="5278120" cy="843749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5278120" cy="8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sz w:val="22"/>
          <w:u w:val="none"/>
        </w:rPr>
      </w:pPr>
    </w:p>
    <w:p>
      <w:pPr>
        <w:pStyle w:val="000003"/>
        <w:numPr>
          <w:ilvl w:val="0"/>
          <w:numId w:val="3"/>
        </w:numPr>
        <w:rPr/>
      </w:pPr>
      <w:r>
        <w:rPr/>
        <w:t>Total Fully Diluted Shares Outstanding</w:t>
      </w:r>
    </w:p>
    <w:p>
      <w:pPr>
        <w:pStyle w:val="000001"/>
        <w:numPr/>
        <w:pBdr>
          <w:bottom/>
        </w:pBdr>
        <w:ind/>
        <w:rPr>
          <w:i w:val="0"/>
          <w:strike w:val="0"/>
          <w:spacing w:val="0"/>
          <w:sz w:val="22"/>
          <w:u w:val="none"/>
        </w:rPr>
      </w:pPr>
      <w:r>
        <w:rPr>
          <w:i w:val="0"/>
          <w:strike w:val="0"/>
          <w:spacing w:val="0"/>
          <w:sz w:val="22"/>
          <w:u w:val="none"/>
        </w:rPr>
        <w:t>Total Fully Diluted Shares Outstanding</w:t>
      </w:r>
      <w:r>
        <w:rPr>
          <w:rFonts w:hint="eastAsia"/>
          <w:i w:val="0"/>
          <w:strike w:val="0"/>
          <w:spacing w:val="0"/>
          <w:sz w:val="22"/>
          <w:u w:val="none"/>
        </w:rPr>
        <w:t xml:space="preserve"> = “</w:t>
      </w:r>
      <w:r>
        <w:rPr>
          <w:i w:val="0"/>
          <w:strike w:val="0"/>
          <w:spacing w:val="0"/>
          <w:sz w:val="22"/>
          <w:u w:val="none"/>
        </w:rPr>
        <w:t>Common Shares OS</w:t>
      </w:r>
      <w:r>
        <w:rPr>
          <w:rFonts w:hint="eastAsia"/>
          <w:i w:val="0"/>
          <w:strike w:val="0"/>
          <w:spacing w:val="0"/>
          <w:sz w:val="22"/>
          <w:u w:val="none"/>
        </w:rPr>
        <w:t>“+“</w:t>
      </w:r>
      <w:r>
        <w:rPr>
          <w:sz w:val="22"/>
        </w:rPr>
        <w:t>Cullgen common stock</w:t>
      </w:r>
      <w:r>
        <w:rPr>
          <w:rFonts w:hint="eastAsia"/>
          <w:sz w:val="22"/>
        </w:rPr>
        <w:t>”+“</w:t>
      </w:r>
      <w:r>
        <w:rPr>
          <w:i w:val="0"/>
          <w:strike w:val="0"/>
          <w:spacing w:val="0"/>
          <w:sz w:val="22"/>
          <w:u w:val="none"/>
        </w:rPr>
        <w:t>BCI Shares Held by Futu Futu</w:t>
      </w:r>
      <w:r>
        <w:rPr>
          <w:rFonts w:hint="eastAsia"/>
          <w:sz w:val="22"/>
        </w:rPr>
        <w:t>”+“</w:t>
      </w:r>
      <w:r>
        <w:rPr>
          <w:i w:val="0"/>
          <w:strike w:val="0"/>
          <w:spacing w:val="0"/>
          <w:sz w:val="22"/>
          <w:u w:val="none"/>
        </w:rPr>
        <w:t>2025 BC Subplan shares transferred to Futu</w:t>
      </w:r>
      <w:r>
        <w:rPr>
          <w:rFonts w:hint="eastAsia"/>
          <w:sz w:val="22"/>
        </w:rPr>
        <w:t>”+“</w:t>
      </w:r>
      <w:r>
        <w:rPr>
          <w:i w:val="0"/>
          <w:strike w:val="0"/>
          <w:spacing w:val="0"/>
          <w:sz w:val="22"/>
          <w:u w:val="none"/>
        </w:rPr>
        <w:t>Warrants for Convertible Preferred Stock</w:t>
      </w:r>
      <w:r>
        <w:rPr>
          <w:rFonts w:hint="eastAsia"/>
          <w:sz w:val="22"/>
        </w:rPr>
        <w:t>”+“</w:t>
      </w:r>
      <w:r>
        <w:rPr>
          <w:i w:val="0"/>
          <w:strike w:val="0"/>
          <w:spacing w:val="0"/>
          <w:sz w:val="22"/>
          <w:u w:val="none"/>
        </w:rPr>
        <w:t>Options Outstanding</w:t>
      </w:r>
      <w:r>
        <w:rPr>
          <w:rFonts w:hint="eastAsia"/>
          <w:sz w:val="22"/>
        </w:rPr>
        <w:t>”+“</w:t>
      </w:r>
      <w:r>
        <w:rPr>
          <w:i w:val="0"/>
          <w:strike w:val="0"/>
          <w:spacing w:val="0"/>
          <w:sz w:val="22"/>
          <w:u w:val="none"/>
        </w:rPr>
        <w:t>Options Available</w:t>
      </w:r>
      <w:r>
        <w:rPr>
          <w:rFonts w:hint="eastAsia"/>
          <w:sz w:val="22"/>
        </w:rPr>
        <w:t>”</w:t>
      </w:r>
    </w:p>
    <w:p>
      <w:pPr>
        <w:pStyle w:val="000001"/>
        <w:pBdr/>
        <w:ind/>
        <w:rPr>
          <w:i w:val="0"/>
          <w:strike w:val="0"/>
          <w:spacing w:val="0"/>
          <w:sz w:val="22"/>
          <w:u w:val="none"/>
        </w:rPr>
      </w:pPr>
    </w:p>
    <w:p>
      <w:pPr>
        <w:pStyle w:val="000001"/>
        <w:pBdr/>
        <w:ind/>
        <w:rPr>
          <w:i w:val="0"/>
          <w:strike w:val="0"/>
          <w:spacing w:val="0"/>
          <w:sz w:val="22"/>
          <w:u w:val="none"/>
        </w:rPr>
      </w:pPr>
    </w:p>
    <w:p>
      <w:pPr>
        <w:pStyle w:val="000002"/>
        <w:numPr>
          <w:ilvl w:val="0"/>
          <w:numId w:val="6"/>
        </w:numPr>
        <w:rPr/>
      </w:pPr>
      <w:r>
        <w:rPr/>
        <w:t>Monthly Updates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每个月创建数据更新计划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导入表格后，系统检查数据表是否完整，检查点是否正确</w:t>
      </w:r>
    </w:p>
    <w:p>
      <w:pPr>
        <w:pStyle w:val="000001"/>
        <w:numPr>
          <w:ilvl w:val="0"/>
          <w:numId w:val="7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人工确认哪些不更新、争议数据批注，确认生成新数据</w:t>
      </w:r>
    </w:p>
    <w:p>
      <w:pPr>
        <w:pStyle w:val="000001"/>
        <w:numPr>
          <w:ilvl w:val="0"/>
          <w:numId w:val="7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此时生成首页的captable summary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numPr>
          <w:ilvl w:val="0"/>
          <w:numId w:val="6"/>
        </w:numPr>
        <w:rPr/>
      </w:pPr>
      <w:r>
        <w:rPr/>
        <w:t>Holdings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将同一个员工在futu和shareworks中不同计划所有持有的股份情况进行合并。需要支持如下能力：</w:t>
      </w:r>
    </w:p>
    <w:p>
      <w:pPr>
        <w:pStyle w:val="000001"/>
        <w:numPr>
          <w:ilvl w:val="0"/>
          <w:numId w:val="8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by 员工纬度查看其全部股权数据</w:t>
      </w:r>
    </w:p>
    <w:p>
      <w:pPr>
        <w:pStyle w:val="000001"/>
        <w:numPr>
          <w:ilvl w:val="0"/>
          <w:numId w:val="8"/>
        </w:numPr>
        <w:pBdr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员工身上有身份标签，可以根据检索条件做过滤（for高管），支持搜索</w:t>
      </w:r>
    </w:p>
    <w:p>
      <w:pPr>
        <w:pStyle w:val="000001"/>
        <w:pBdr/>
        <w:ind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numPr>
          <w:ilvl w:val="0"/>
          <w:numId w:val="6"/>
        </w:numPr>
        <w:pBdr/>
        <w:rPr/>
      </w:pPr>
      <w:r>
        <w:rPr/>
        <w:t>基本设置</w:t>
      </w:r>
    </w:p>
    <w:p>
      <w:pPr>
        <w:pStyle w:val="000003"/>
        <w:numPr>
          <w:ilvl w:val="0"/>
          <w:numId w:val="9"/>
        </w:numPr>
        <w:rPr/>
      </w:pPr>
      <w:r>
        <w:rPr/>
        <w:t>员工映射表</w:t>
      </w:r>
    </w:p>
    <w:p>
      <w:pPr>
        <w:pStyle w:val="000001"/>
        <w:rPr/>
      </w:pPr>
      <w:r>
        <w:rPr/>
        <w:t>同一</w:t>
      </w:r>
      <w:r>
        <w:rPr>
          <w:rFonts w:hint="eastAsia"/>
        </w:rPr>
        <w:t>个员工在futu和shareworks中的映射关系维护，才能维持总表进行总览查看</w:t>
      </w:r>
    </w:p>
    <w:p>
      <w:pPr>
        <w:pStyle w:val="000001"/>
        <w:rPr/>
      </w:pPr>
    </w:p>
    <w:p>
      <w:pPr>
        <w:pStyle w:val="000003"/>
        <w:numPr>
          <w:ilvl w:val="0"/>
          <w:numId w:val="9"/>
        </w:numPr>
        <w:rPr/>
      </w:pPr>
      <w:r>
        <w:rPr/>
        <w:t>股东标签维护</w:t>
      </w:r>
    </w:p>
    <w:p>
      <w:pPr>
        <w:pStyle w:val="000001"/>
        <w:pBdr/>
        <w:ind/>
        <w:rPr/>
      </w:pPr>
      <w:r>
        <w:rPr/>
        <w:t>对于</w:t>
      </w:r>
      <w:r>
        <w:rPr>
          <w:rFonts w:hint="eastAsia"/>
        </w:rPr>
        <w:t>需要跟踪的董监高打标签维护，在查看明细时，可以过滤筛选并统计数量</w:t>
      </w:r>
    </w:p>
    <w:p>
      <w:pPr>
        <w:pStyle w:val="000001"/>
        <w:rPr/>
      </w:pPr>
    </w:p>
    <w:p>
      <w:pPr>
        <w:pStyle w:val="000003"/>
        <w:numPr>
          <w:ilvl w:val="0"/>
          <w:numId w:val="9"/>
        </w:numPr>
        <w:pBdr/>
        <w:rPr/>
      </w:pPr>
      <w:r>
        <w:rPr/>
        <w:t>跟踪计划管理</w:t>
      </w:r>
    </w:p>
    <w:p>
      <w:pPr>
        <w:pStyle w:val="000001"/>
        <w:rPr/>
      </w:pPr>
      <w:r>
        <w:rPr>
          <w:rFonts w:hint="eastAsia"/>
        </w:rPr>
        <w:t>维护在本页面的计划，才会查找数据进行检查和统计，目前为6个</w:t>
      </w:r>
    </w:p>
    <w:p>
      <w:pPr>
        <w:pStyle w:val="000003"/>
        <w:rPr/>
      </w:pPr>
    </w:p>
    <w:p>
      <w:pPr>
        <w:pStyle w:val="000003"/>
        <w:numPr>
          <w:ilvl w:val="0"/>
          <w:numId w:val="9"/>
        </w:numPr>
        <w:pBdr/>
        <w:rPr>
          <w:rFonts w:hint="eastAsia"/>
        </w:rPr>
      </w:pPr>
      <w:r>
        <w:rPr/>
        <w:t>全局参数</w:t>
      </w:r>
      <w:r>
        <w:rPr>
          <w:rFonts w:hint="eastAsia"/>
        </w:rPr>
        <w:t>设置</w:t>
      </w:r>
    </w:p>
    <w:p>
      <w:pPr>
        <w:pStyle w:val="000001"/>
        <w:pBdr>
          <w:bottom/>
        </w:pBdr>
        <w:ind/>
        <w:rPr/>
      </w:pPr>
      <w:r>
        <w:rPr>
          <w:rFonts w:hint="eastAsia"/>
        </w:rPr>
        <w:t>以下参数默认不修改，但是在计算summary时需要用到。在本页面支持修改并且保留操作日志，或从计划页面快捷跳转进行修改</w:t>
      </w:r>
    </w:p>
    <w:p>
      <w:pPr>
        <w:pStyle w:val="000001"/>
        <w:numPr>
          <w:ilvl w:val="0"/>
          <w:numId w:val="10"/>
        </w:numPr>
        <w:rPr/>
      </w:pPr>
      <w:r>
        <w:rPr/>
        <w:t>C common stock = 14,450,527</w:t>
      </w:r>
    </w:p>
    <w:p>
      <w:pPr>
        <w:pStyle w:val="000001"/>
        <w:numPr>
          <w:ilvl w:val="0"/>
          <w:numId w:val="10"/>
        </w:numPr>
        <w:pBdr/>
        <w:rPr/>
      </w:pPr>
      <w:r>
        <w:rPr/>
        <w:t>G 2023 China SubPlan Total=7,815,396</w:t>
      </w:r>
    </w:p>
    <w:p>
      <w:pPr>
        <w:pStyle w:val="000001"/>
        <w:numPr>
          <w:ilvl w:val="0"/>
          <w:numId w:val="10"/>
        </w:numPr>
        <w:pBdr/>
        <w:rPr/>
      </w:pPr>
      <w:r>
        <w:rPr>
          <w:i w:val="0"/>
          <w:strike w:val="0"/>
          <w:spacing w:val="0"/>
          <w:u w:val="none"/>
        </w:rPr>
        <w:t>Warrants for Convertible Preferred Stock</w:t>
      </w:r>
      <w:r>
        <w:rPr>
          <w:rFonts w:hint="eastAsia"/>
          <w:i w:val="0"/>
          <w:strike w:val="0"/>
          <w:spacing w:val="0"/>
          <w:u w:val="none"/>
        </w:rPr>
        <w:t>=540,666</w:t>
      </w:r>
    </w:p>
    <w:p>
      <w:pPr>
        <w:pStyle w:val="000001"/>
        <w:numPr>
          <w:ilvl w:val="0"/>
          <w:numId w:val="10"/>
        </w:numPr>
        <w:pBdr>
          <w:bottom/>
        </w:pBdr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>Options Outstanding- Cullgen= 4,156,815</w:t>
      </w:r>
    </w:p>
    <w:p>
      <w:pPr>
        <w:pStyle w:val="000001"/>
        <w:numPr>
          <w:ilvl w:val="0"/>
          <w:numId w:val="10"/>
        </w:numPr>
        <w:pBdr>
          <w:bottom/>
        </w:pBdr>
        <w:rPr>
          <w:rFonts w:hint="eastAsia"/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 xml:space="preserve">Options Available- Cullgen=10,994 </w:t>
      </w:r>
    </w:p>
    <w:p>
      <w:pPr>
        <w:pStyle w:val="000001"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numPr>
          <w:ilvl w:val="0"/>
          <w:numId w:val="6"/>
        </w:numPr>
        <w:pBdr/>
        <w:ind/>
        <w:rPr/>
      </w:pPr>
      <w:r>
        <w:rPr/>
        <w:t>数据底表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支持批量导入和下载，可能有数据回退及订正</w:t>
      </w:r>
    </w:p>
    <w:p>
      <w:pPr>
        <w:pStyle w:val="000001"/>
        <w:pBdr>
          <w:bottom/>
        </w:pBdr>
        <w:ind/>
        <w:rPr>
          <w:rFonts w:hint="eastAsia"/>
        </w:rPr>
      </w:pPr>
    </w:p>
    <w:p>
      <w:pPr>
        <w:pStyle w:val="000003"/>
        <w:numPr>
          <w:ilvl w:val="0"/>
          <w:numId w:val="11"/>
        </w:numPr>
        <w:pBdr/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EQ Control Book</w:t>
      </w:r>
    </w:p>
    <w:p>
      <w:pPr>
        <w:pStyle w:val="000001"/>
        <w:pBdr/>
        <w:ind/>
        <w:rPr>
          <w:color w:val="FF0000"/>
        </w:rPr>
      </w:pPr>
    </w:p>
    <w:p>
      <w:pPr>
        <w:pStyle w:val="000003"/>
        <w:numPr>
          <w:ilvl w:val="0"/>
          <w:numId w:val="11"/>
        </w:numPr>
        <w:pBdr/>
        <w:ind/>
        <w:rPr>
          <w:color w:val="FF0000"/>
        </w:rPr>
      </w:pPr>
      <w:r>
        <w:rPr>
          <w:color w:val="FF0000"/>
        </w:rPr>
        <w:t>Option Plans Summary</w:t>
      </w:r>
    </w:p>
    <w:p>
      <w:pPr>
        <w:pStyle w:val="000001"/>
        <w:pBdr/>
        <w:ind/>
        <w:rPr>
          <w:color w:val="FF0000"/>
        </w:rPr>
      </w:pPr>
    </w:p>
    <w:p>
      <w:pPr>
        <w:pStyle w:val="000003"/>
        <w:numPr>
          <w:ilvl w:val="0"/>
          <w:numId w:val="11"/>
        </w:numPr>
        <w:ind/>
        <w:rPr>
          <w:color w:val="FF0000"/>
        </w:rPr>
      </w:pPr>
      <w:r>
        <w:rPr>
          <w:i w:val="0"/>
          <w:strike w:val="0"/>
          <w:color w:val="FF0000"/>
          <w:spacing w:val="0"/>
          <w:u w:val="none"/>
        </w:rPr>
        <w:t>Futu BCI Exercises to Date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1"/>
        </w:numPr>
        <w:rPr/>
      </w:pPr>
      <w:r>
        <w:rPr/>
        <w:t>Share pools</w:t>
      </w:r>
    </w:p>
    <w:p>
      <w:pPr>
        <w:pStyle w:val="000001"/>
        <w:pBdr/>
        <w:ind/>
        <w:rPr/>
      </w:pPr>
    </w:p>
    <w:p>
      <w:pPr>
        <w:pStyle w:val="000003"/>
        <w:numPr>
          <w:ilvl w:val="0"/>
          <w:numId w:val="11"/>
        </w:numPr>
        <w:pBdr/>
        <w:ind/>
        <w:rPr/>
      </w:pPr>
      <w:r>
        <w:rPr/>
        <w:t>2025 BC Subplan Transfer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>
          <w:bottom/>
        </w:pBdr>
        <w:ind/>
        <w:rPr>
          <w:rFonts w:hint="eastAsia"/>
        </w:rPr>
      </w:pPr>
      <w:r>
        <w:rPr>
          <w:rFonts w:hint="eastAsia"/>
        </w:rPr>
        <w:t xml:space="preserve"> </w:t>
      </w:r>
    </w:p>
    <w:p>
      <w:pPr>
        <w:pBdr/>
        <w:ind/>
        <w:rPr>
          <w:rFonts w:hint="eastAsia"/>
        </w:rPr>
      </w:pPr>
      <w:r>
        <w:rPr>
          <w:rFonts w:hint="eastAsia"/>
        </w:rPr>
        <w:t>其他</w:t>
      </w:r>
    </w:p>
    <w:p>
      <w:pPr>
        <w:pStyle w:val="000001"/>
        <w:numPr/>
        <w:pBdr/>
        <w:ind/>
        <w:rPr>
          <w:i w:val="0"/>
          <w:strike w:val="0"/>
          <w:spacing w:val="0"/>
          <w:sz w:val="22"/>
          <w:u w:val="none"/>
        </w:rPr>
      </w:pPr>
      <w:r>
        <w:rPr>
          <w:rFonts w:hint="eastAsia"/>
          <w:i w:val="0"/>
          <w:strike w:val="0"/>
          <w:spacing w:val="0"/>
          <w:sz w:val="22"/>
          <w:u w:val="none"/>
        </w:rPr>
        <w:t>普通股与期权间的转换：</w:t>
      </w:r>
    </w:p>
    <w:p>
      <w:pPr>
        <w:pStyle w:val="000001"/>
        <w:numPr/>
        <w:ind w:left="0"/>
        <w:rPr>
          <w:sz w:val="22"/>
        </w:rPr>
      </w:pPr>
      <w:r>
        <w:rPr>
          <w:sz w:val="22"/>
        </w:rPr>
        <w:t>Common Shares OS = 1,000,000 股</w:t>
      </w:r>
    </w:p>
    <w:p>
      <w:pPr>
        <w:pStyle w:val="000001"/>
        <w:numPr/>
        <w:ind w:left="0"/>
        <w:rPr>
          <w:sz w:val="22"/>
        </w:rPr>
      </w:pPr>
      <w:r>
        <w:rPr>
          <w:sz w:val="22"/>
        </w:rPr>
        <w:t>Options Outstanding = 200,000 股（每股行权价 $1）</w:t>
      </w:r>
    </w:p>
    <w:p>
      <w:pPr>
        <w:pStyle w:val="000001"/>
        <w:numPr/>
        <w:pBdr>
          <w:bottom/>
        </w:pBdr>
        <w:ind w:left="0"/>
        <w:rPr>
          <w:color w:val="2972F4"/>
          <w:sz w:val="22"/>
        </w:rPr>
      </w:pPr>
      <w:r>
        <w:rPr>
          <w:sz w:val="22"/>
        </w:rPr>
        <w:t>如果所有期权持有人立即行权，公司会收到 $200,000，</w:t>
      </w:r>
      <w:r>
        <w:rPr>
          <w:color w:val="2972F4"/>
          <w:sz w:val="22"/>
        </w:rPr>
        <w:t>并新发行 200,000 股普通股。</w:t>
      </w:r>
    </w:p>
    <w:p>
      <w:pPr>
        <w:pStyle w:val="000001"/>
        <w:numPr/>
        <w:ind/>
        <w:rPr>
          <w:sz w:val="22"/>
        </w:rPr>
      </w:pPr>
      <w:r>
        <w:rPr>
          <w:sz w:val="22"/>
        </w:rPr>
        <w:t>行权后：Common Shares OS 变为 1,200,000 股，Options Outstanding 变为 0。</w:t>
      </w:r>
    </w:p>
    <w:p>
      <w:pPr>
        <w:pBdr/>
        <w:ind/>
        <w:rPr>
          <w:rFonts w:hint="eastAsia"/>
        </w:rPr>
      </w:pPr>
    </w:p>
    <w:p>
      <w:pPr>
        <w:pBdr/>
        <w:ind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3">
      <w:start w:val="1"/>
      <w:numFmt w:val="decimal"/>
      <w:lvlText w:val="%4."/>
      <w:lvlJc w:val="left"/>
      <w:pPr>
        <w:ind w:left="165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  <w:rPr/>
    </w:lvl>
  </w:abstractNum>
  <w:abstractNum w:abstractNumId="1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decimal"/>
      <w:lvlText w:val="%1.%2.%3."/>
      <w:lvlJc w:val="left"/>
      <w:pPr>
        <w:ind w:left="1552" w:hanging="672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</w:abstractNum>
  <w:abstractNum w:abstractNumId="4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5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6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7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8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9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0">
    <w:lvl w:ilvl="0">
      <w:start w:val="3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num w:numId="3">
    <w:abstractNumId w:val="6"/>
  </w:num>
  <w:num w:numId="7">
    <w:abstractNumId w:val="1"/>
  </w:num>
  <w:num w:numId="4">
    <w:abstractNumId w:val="7"/>
  </w:num>
  <w:num w:numId="9">
    <w:abstractNumId w:val="2"/>
  </w:num>
  <w:num w:numId="1">
    <w:abstractNumId w:val="3"/>
  </w:num>
  <w:num w:numId="6">
    <w:abstractNumId w:val="10"/>
  </w:num>
  <w:num w:numId="11">
    <w:abstractNumId w:val="8"/>
  </w:num>
  <w:num w:numId="5">
    <w:abstractNumId w:val="9"/>
  </w:num>
  <w:num w:numId="2">
    <w:abstractNumId w:val="0"/>
  </w:num>
  <w:num w:numId="8">
    <w:abstractNumId w:val="4"/>
  </w:num>
  <w:num w:numId="10">
    <w:abstractNumId w:val="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ifferentiateMultirowTableHeader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TML Variable" w:uiPriority="99"/>
    <w:lsdException w:name="Grid Table 6 Colorful Accent 6" w:uiPriority="51"/>
    <w:lsdException w:name="Table Classic 1" w:semiHidden="1" w:unhideWhenUsed="1"/>
    <w:lsdException w:name="Grid Table 2 Accent 1" w:uiPriority="47"/>
    <w:lsdException w:name="Intense Quote" w:uiPriority="99"/>
    <w:lsdException w:name="List Table 6 Colorful Accent 1" w:uiPriority="51"/>
    <w:lsdException w:name="List Table 7 Colorful Accent 2" w:uiPriority="52"/>
    <w:lsdException w:name="toc 2" w:uiPriority="99"/>
    <w:lsdException w:name="Medium List 1 Accent 4" w:uiPriority="65"/>
    <w:lsdException w:name="List Table 7 Colorful Accent 4" w:uiPriority="52"/>
    <w:lsdException w:name="Table List 7" w:semiHidden="1" w:unhideWhenUsed="1"/>
    <w:lsdException w:name="Colorful Grid" w:uiPriority="73"/>
    <w:lsdException w:name="toc 1" w:uiPriority="99"/>
    <w:lsdException w:name="Light Grid Accent 5" w:uiPriority="62"/>
    <w:lsdException w:name="heading 8" w:unhideWhenUsed="1" w:qFormat="1"/>
    <w:lsdException w:name="Dark List" w:uiPriority="70"/>
    <w:lsdException w:name="List Table 1 Light Accent 2" w:uiPriority="46"/>
    <w:lsdException w:name="Dark List Accent 1" w:uiPriority="70"/>
    <w:lsdException w:name="Grid Table 1 Light Accent 6" w:uiPriority="46"/>
    <w:lsdException w:name="Medium Grid 2" w:uiPriority="68"/>
    <w:lsdException w:name="Grid Table 2 Accent 2" w:uiPriority="47"/>
    <w:lsdException w:name="Table Grid 3" w:semiHidden="1" w:unhideWhenUsed="1"/>
    <w:lsdException w:name="Grid Table 2 Accent 3" w:uiPriority="47"/>
    <w:lsdException w:name="Medium Shading 1 Accent 4" w:uiPriority="63"/>
    <w:lsdException w:name="Table Columns 2" w:semiHidden="1" w:unhideWhenUsed="1"/>
    <w:lsdException w:name="Colorful Shading Accent 5" w:uiPriority="71"/>
    <w:lsdException w:name="Colorful Shading Accent 4" w:uiPriority="71"/>
    <w:lsdException w:name="Light Shading Accent 1" w:uiPriority="60"/>
    <w:lsdException w:name="Medium List 2 Accent 1" w:uiPriority="66"/>
    <w:lsdException w:name="Grid Table 1 Light Accent 2" w:uiPriority="46"/>
    <w:lsdException w:name="Table Web 1" w:semiHidden="1" w:unhideWhenUsed="1"/>
    <w:lsdException w:name="footnote text" w:uiPriority="99" w:semiHidden="1" w:unhideWhenUsed="1"/>
    <w:lsdException w:name="Grid Table 2 Accent 4" w:uiPriority="47"/>
    <w:lsdException w:name="HTML Address" w:uiPriority="99"/>
    <w:lsdException w:name="heading 5" w:qFormat="1"/>
    <w:lsdException w:name="Colorful List Accent 4" w:uiPriority="72"/>
    <w:lsdException w:name="Light Shading Accent 5" w:uiPriority="60"/>
    <w:lsdException w:name="List Table 1 Light Accent 5" w:uiPriority="46"/>
    <w:lsdException w:name="Outline List 1" w:uiPriority="99" w:semiHidden="1" w:unhideWhenUsed="1"/>
    <w:lsdException w:name="Plain Table 3" w:uiPriority="43"/>
    <w:lsdException w:name="List Table 4" w:uiPriority="49"/>
    <w:lsdException w:name="Medium Grid 2 Accent 6" w:uiPriority="68"/>
    <w:lsdException w:name="List Paragraph" w:uiPriority="99"/>
    <w:lsdException w:name="Light List Accent 5" w:uiPriority="61"/>
    <w:lsdException w:name="List Table 6 Colorful Accent 3" w:uiPriority="51"/>
    <w:lsdException w:name="List Table 3 Accent 1" w:uiPriority="48"/>
    <w:lsdException w:name="Grid Table 3 Accent 3" w:uiPriority="48"/>
    <w:lsdException w:name="Table Colorful 1" w:semiHidden="1" w:unhideWhenUsed="1"/>
    <w:lsdException w:name="Table Columns 5" w:semiHidden="1" w:unhideWhenUsed="1"/>
    <w:lsdException w:name="Colorful Grid Accent 1" w:uiPriority="73"/>
    <w:lsdException w:name="Table List 4" w:semiHidden="1" w:unhideWhenUsed="1"/>
    <w:lsdException w:name="List Table 5 Dark" w:uiPriority="50"/>
    <w:lsdException w:name="heading 6" w:qFormat="1"/>
    <w:lsdException w:name="Table Simple 1" w:semiHidden="1" w:unhideWhenUsed="1"/>
    <w:lsdException w:name="Normal Table" w:uiPriority="99" w:semiHidden="1" w:unhideWhenUsed="1"/>
    <w:lsdException w:name="Book Title" w:uiPriority="33" w:qFormat="1"/>
    <w:lsdException w:name="Medium Shading 2 Accent 4" w:uiPriority="64"/>
    <w:lsdException w:name="Medium Shading 1 Accent 5" w:uiPriority="63"/>
    <w:lsdException w:name="heading 4" w:qFormat="1"/>
    <w:lsdException w:name="List Table 4 Accent 5" w:uiPriority="49"/>
    <w:lsdException w:name="Grid Table 2 Accent 6" w:uiPriority="47"/>
    <w:lsdException w:name="Light Shading Accent 4" w:uiPriority="60"/>
    <w:lsdException w:name="Medium Shading 2 Accent 3" w:uiPriority="64"/>
    <w:lsdException w:name="Table List 5" w:semiHidden="1" w:unhideWhenUsed="1"/>
    <w:lsdException w:name="Colorful Shading" w:uiPriority="71"/>
    <w:lsdException w:name="Light List Accent 1" w:uiPriority="61"/>
    <w:lsdException w:name="heading 3" w:qFormat="1"/>
    <w:lsdException w:name="Grid Table 5 Dark Accent 6" w:uiPriority="50"/>
    <w:lsdException w:name="List Table 7 Colorful Accent 3" w:uiPriority="52"/>
    <w:lsdException w:name="HTML Keyboard" w:uiPriority="99"/>
    <w:lsdException w:name="List Table 2 Accent 6" w:uiPriority="47"/>
    <w:lsdException w:name="Grid Table 6 Colorful Accent 5" w:uiPriority="51"/>
    <w:lsdException w:name="Grid Table 4 Accent 4" w:uiPriority="49"/>
    <w:lsdException w:name="Medium Grid 2 Accent 2" w:uiPriority="68"/>
    <w:lsdException w:name="Light Grid Accent 2" w:uiPriority="62"/>
    <w:lsdException w:name="Table Classic 4" w:semiHidden="1" w:unhideWhenUsed="1"/>
    <w:lsdException w:name="Grid Table 1 Light Accent 3" w:uiPriority="46"/>
    <w:lsdException w:name="Grid Table 7 Colorful Accent 3" w:uiPriority="52"/>
    <w:lsdException w:name="Grid Table 1 Light Accent 4" w:uiPriority="46"/>
    <w:lsdException w:name="Light List Accent 4" w:uiPriority="61"/>
    <w:lsdException w:name="Table 3D effects 1" w:semiHidden="1" w:unhideWhenUsed="1"/>
    <w:lsdException w:name="List Table 1 Light Accent 3" w:uiPriority="46"/>
    <w:lsdException w:name="toc 7" w:uiPriority="99"/>
    <w:lsdException w:name="Smart Link" w:uiPriority="99" w:semiHidden="1" w:unhideWhenUsed="1"/>
    <w:lsdException w:name="Grid Table 2" w:uiPriority="47"/>
    <w:lsdException w:name="Grid Table 3 Accent 5" w:uiPriority="48"/>
    <w:lsdException w:name="Medium Grid 3 Accent 6" w:uiPriority="69"/>
    <w:lsdException w:name="Medium Grid 3 Accent 3" w:uiPriority="69"/>
    <w:lsdException w:name="Medium List 1 Accent 5" w:uiPriority="65"/>
    <w:lsdException w:name="No List" w:uiPriority="99" w:semiHidden="1" w:unhideWhenUsed="1"/>
    <w:lsdException w:name="Medium Shading 1 Accent 6" w:uiPriority="63"/>
    <w:lsdException w:name="Plain Table 2" w:uiPriority="42"/>
    <w:lsdException w:name="Colorful List Accent 2" w:uiPriority="72"/>
    <w:lsdException w:name="Table Grid 6" w:semiHidden="1" w:unhideWhenUsed="1"/>
    <w:lsdException w:name="Plain Table 4" w:uiPriority="44"/>
    <w:lsdException w:name="Dark List Accent 5" w:uiPriority="70"/>
    <w:lsdException w:name="List Table 6 Colorful" w:uiPriority="51"/>
    <w:lsdException w:name="List Table 5 Dark Accent 2" w:uiPriority="50"/>
    <w:lsdException w:name="Medium Grid 2 Accent 1" w:uiPriority="68"/>
    <w:lsdException w:name="Table Simple 3" w:semiHidden="1" w:unhideWhenUsed="1"/>
    <w:lsdException w:name="Light List" w:uiPriority="61"/>
    <w:lsdException w:name="Hashtag" w:uiPriority="99" w:semiHidden="1" w:unhideWhenUsed="1"/>
    <w:lsdException w:name="Medium Shading 2" w:uiPriority="64"/>
    <w:lsdException w:name="No Spacing" w:uiPriority="99"/>
    <w:lsdException w:name="Medium Shading 1 Accent 3" w:uiPriority="63"/>
    <w:lsdException w:name="Medium Grid 3 Accent 2" w:uiPriority="69"/>
    <w:lsdException w:name="List Table 4 Accent 6" w:uiPriority="49"/>
    <w:lsdException w:name="Grid Table 7 Colorful Accent 6" w:uiPriority="52"/>
    <w:lsdException w:name="Medium Grid 1 Accent 6" w:uiPriority="67"/>
    <w:lsdException w:name="Placeholder Text" w:uiPriority="99" w:semiHidden="1"/>
    <w:lsdException w:name="Colorful List Accent 6" w:uiPriority="72"/>
    <w:lsdException w:name="Light Grid Accent 4" w:uiPriority="62"/>
    <w:lsdException w:name="List Table 3" w:uiPriority="48"/>
    <w:lsdException w:name="HTML Acronym" w:uiPriority="99"/>
    <w:lsdException w:name="Colorful Grid Accent 2" w:uiPriority="73"/>
    <w:lsdException w:name="Title" w:qFormat="1"/>
    <w:lsdException w:name="Dark List Accent 2" w:uiPriority="70"/>
    <w:lsdException w:name="List Table 7 Colorful" w:uiPriority="52"/>
    <w:lsdException w:name="caption" w:semiHidden="1" w:unhideWhenUsed="1" w:qFormat="1"/>
    <w:lsdException w:name="Mention" w:uiPriority="99" w:semiHidden="1" w:unhideWhenUsed="1"/>
    <w:lsdException w:name="Light Shading Accent 3" w:uiPriority="60"/>
    <w:lsdException w:name="Grid Table 4 Accent 6" w:uiPriority="49"/>
    <w:lsdException w:name="Medium Grid 1 Accent 5" w:uiPriority="67"/>
    <w:lsdException w:name="Medium List 2 Accent 4" w:uiPriority="66"/>
    <w:lsdException w:name="Grid Table 6 Colorful Accent 2" w:uiPriority="51"/>
    <w:lsdException w:name="Grid Table 1 Light Accent 1" w:uiPriority="46"/>
    <w:lsdException w:name="Grid Table 6 Colorful Accent 3" w:uiPriority="51"/>
    <w:lsdException w:name="Dark List Accent 6" w:uiPriority="70"/>
    <w:lsdException w:name="List Table 5 Dark Accent 4" w:uiPriority="50"/>
    <w:lsdException w:name="Medium List 2" w:uiPriority="66"/>
    <w:lsdException w:name="List Table 6 Colorful Accent 6" w:uiPriority="51"/>
    <w:lsdException w:name="Light List Accent 3" w:uiPriority="61"/>
    <w:lsdException w:name="footnote reference" w:uiPriority="99" w:semiHidden="1" w:unhideWhenUsed="1"/>
    <w:lsdException w:name="Grid Table 3 Accent 6" w:uiPriority="48"/>
    <w:lsdException w:name="Grid Table 4 Accent 2" w:uiPriority="49"/>
    <w:lsdException w:name="heading 1" w:qFormat="1"/>
    <w:lsdException w:name="Medium Grid 1 Accent 1" w:uiPriority="67"/>
    <w:lsdException w:name="heading 2" w:qFormat="1"/>
    <w:lsdException w:name="Table Columns 3" w:semiHidden="1" w:unhideWhenUsed="1"/>
    <w:lsdException w:name="Light List Accent 2" w:uiPriority="61"/>
    <w:lsdException w:name="Table List 1" w:semiHidden="1" w:unhideWhenUsed="1"/>
    <w:lsdException w:name="List Table 6 Colorful Accent 5" w:uiPriority="51"/>
    <w:lsdException w:name="Grid Table 7 Colorful Accent 2" w:uiPriority="52"/>
    <w:lsdException w:name="Medium Grid 3" w:uiPriority="69"/>
    <w:lsdException w:name="Grid Table 5 Dark Accent 5" w:uiPriority="50"/>
    <w:lsdException w:name="toc 8" w:uiPriority="99"/>
    <w:lsdException w:name="Table Columns 1" w:semiHidden="1" w:unhideWhenUsed="1"/>
    <w:lsdException w:name="Light Shading" w:uiPriority="60"/>
    <w:lsdException w:name="Unresolved Mention" w:uiPriority="99" w:semiHidden="1" w:unhideWhenUsed="1"/>
    <w:lsdException w:name="Grid Table Light" w:uiPriority="40"/>
    <w:lsdException w:name="HTML Definition" w:uiPriority="99"/>
    <w:lsdException w:name="Grid Table 3 Accent 4" w:uiPriority="48"/>
    <w:lsdException w:name="Medium Grid 1" w:uiPriority="67"/>
    <w:lsdException w:name="Medium List 1 Accent 6" w:uiPriority="65"/>
    <w:lsdException w:name="Table Grid 4" w:semiHidden="1" w:unhideWhenUsed="1"/>
    <w:lsdException w:name="Table 3D effects 3" w:semiHidden="1" w:unhideWhenUsed="1"/>
    <w:lsdException w:name="Grid Table 5 Dark Accent 1" w:uiPriority="50"/>
    <w:lsdException w:name="Subtitle" w:qFormat="1"/>
    <w:lsdException w:name="Grid Table 6 Colorful Accent 1" w:uiPriority="51"/>
    <w:lsdException w:name="Colorful Shading Accent 3" w:uiPriority="71"/>
    <w:lsdException w:name="Colorful Grid Accent 3" w:uiPriority="73"/>
    <w:lsdException w:name="Light Grid" w:uiPriority="62"/>
    <w:lsdException w:name="Table Colorful 2" w:semiHidden="1" w:unhideWhenUsed="1"/>
    <w:lsdException w:name="toc 4" w:uiPriority="99"/>
    <w:lsdException w:name="Strong" w:qFormat="1"/>
    <w:lsdException w:name="Colorful Grid Accent 6" w:uiPriority="73"/>
    <w:lsdException w:name="Table Columns 4" w:semiHidden="1" w:unhideWhenUsed="1"/>
    <w:lsdException w:name="Grid Table 4 Accent 5" w:uiPriority="49"/>
    <w:lsdException w:name="List Table 1 Light" w:uiPriority="46"/>
    <w:lsdException w:name="List Table 2 Accent 5" w:uiPriority="47"/>
    <w:lsdException w:name="Intense Emphasis" w:uiPriority="21" w:qFormat="1"/>
    <w:lsdException w:name="HTML Preformatted" w:uiPriority="99"/>
    <w:lsdException w:name="List Table 7 Colorful Accent 1" w:uiPriority="52"/>
    <w:lsdException w:name="List Table 3 Accent 3" w:uiPriority="48"/>
    <w:lsdException w:name="Normal" w:qFormat="1"/>
    <w:lsdException w:name="Grid Table 6 Colorful" w:uiPriority="51"/>
    <w:lsdException w:name="Medium Grid 2 Accent 4" w:uiPriority="68"/>
    <w:lsdException w:name="Table List 6" w:semiHidden="1" w:unhideWhenUsed="1"/>
    <w:lsdException w:name="Colorful Shading Accent 1" w:uiPriority="71"/>
    <w:lsdException w:name="Medium Shading 2 Accent 6" w:uiPriority="64"/>
    <w:lsdException w:name="Grid Table 4 Accent 1" w:uiPriority="49"/>
    <w:lsdException w:name="Colorful List" w:uiPriority="72"/>
    <w:lsdException w:name="Table Classic 3" w:semiHidden="1" w:unhideWhenUsed="1"/>
    <w:lsdException w:name="Grid Table 4" w:uiPriority="49"/>
    <w:lsdException w:name="HTML Top of Form" w:uiPriority="99" w:semiHidden="1" w:unhideWhenUsed="1"/>
    <w:lsdException w:name="Grid Table 3 Accent 1" w:uiPriority="48"/>
    <w:lsdException w:name="Medium List 1" w:uiPriority="65"/>
    <w:lsdException w:name="Colorful Grid Accent 4" w:uiPriority="73"/>
    <w:lsdException w:name="Table Grid 5" w:semiHidden="1" w:unhideWhenUsed="1"/>
    <w:lsdException w:name="Light Shading Accent 6" w:uiPriority="60"/>
    <w:lsdException w:name="Subtle Reference" w:uiPriority="31" w:qFormat="1"/>
    <w:lsdException w:name="Table Grid" w:qFormat="1"/>
    <w:lsdException w:name="Medium List 2 Accent 6" w:uiPriority="66"/>
    <w:lsdException w:name="List Table 2 Accent 4" w:uiPriority="47"/>
    <w:lsdException w:name="Outline List 2" w:uiPriority="99" w:semiHidden="1" w:unhideWhenUsed="1"/>
    <w:lsdException w:name="Medium List 2 Accent 3" w:uiPriority="66"/>
    <w:lsdException w:name="Grid Table 7 Colorful Accent 5" w:uiPriority="52"/>
    <w:lsdException w:name="List Table 1 Light Accent 6" w:uiPriority="46"/>
    <w:lsdException w:name="Light Grid Accent 3" w:uiPriority="62"/>
    <w:lsdException w:name="List Table 5 Dark Accent 3" w:uiPriority="50"/>
    <w:lsdException w:name="Medium Shading 1 Accent 1" w:uiPriority="63"/>
    <w:lsdException w:name="Medium Shading 2 Accent 5" w:uiPriority="64"/>
    <w:lsdException w:name="Medium Shading 1" w:uiPriority="63"/>
    <w:lsdException w:name="Table Elegant" w:semiHidden="1" w:unhideWhenUsed="1"/>
    <w:lsdException w:name="heading 7" w:unhideWhenUsed="1" w:qFormat="1"/>
    <w:lsdException w:name="Table Grid 8" w:semiHidden="1" w:unhideWhenUsed="1"/>
    <w:lsdException w:name="List Table 6 Colorful Accent 4" w:uiPriority="51"/>
    <w:lsdException w:name="Medium List 1 Accent 3" w:uiPriority="65"/>
    <w:lsdException w:name="Medium Grid 1 Accent 2" w:uiPriority="67"/>
    <w:lsdException w:name="List Table 5 Dark Accent 1" w:uiPriority="50"/>
    <w:lsdException w:name="Table Theme" w:semiHidden="1" w:unhideWhenUsed="1"/>
    <w:lsdException w:name="Grid Table 2 Accent 5" w:uiPriority="47"/>
    <w:lsdException w:name="Grid Table 1 Light Accent 5" w:uiPriority="46"/>
    <w:lsdException w:name="Grid Table 1 Light" w:uiPriority="46"/>
    <w:lsdException w:name="Colorful Shading Accent 2" w:uiPriority="71"/>
    <w:lsdException w:name="Smart Hyperlink" w:uiPriority="99" w:semiHidden="1" w:unhideWhenUsed="1"/>
    <w:lsdException w:name="toc 3" w:uiPriority="99"/>
    <w:lsdException w:name="Grid Table 6 Colorful Accent 4" w:uiPriority="51"/>
    <w:lsdException w:name="List Table 1 Light Accent 4" w:uiPriority="46"/>
    <w:lsdException w:name="HTML Typewriter" w:uiPriority="99"/>
    <w:lsdException w:name="Revision" w:uiPriority="99" w:semiHidden="1"/>
    <w:lsdException w:name="Bibliography" w:uiPriority="37" w:semiHidden="1" w:unhideWhenUsed="1"/>
    <w:lsdException w:name="List Table 4 Accent 2" w:uiPriority="49"/>
    <w:lsdException w:name="Dark List Accent 4" w:uiPriority="70"/>
    <w:lsdException w:name="List Table 5 Dark Accent 5" w:uiPriority="50"/>
    <w:lsdException w:name="Table List 3" w:semiHidden="1" w:unhideWhenUsed="1"/>
    <w:lsdException w:name="Plain Table 5" w:uiPriority="45"/>
    <w:lsdException w:name="Medium Grid 2 Accent 3" w:uiPriority="68"/>
    <w:lsdException w:name="Colorful Shading Accent 6" w:uiPriority="71"/>
    <w:lsdException w:name="Table Web 2" w:semiHidden="1" w:unhideWhenUsed="1"/>
    <w:lsdException w:name="List Table 4 Accent 4" w:uiPriority="49"/>
    <w:lsdException w:name="Table List 8" w:semiHidden="1" w:unhideWhenUsed="1"/>
    <w:lsdException w:name="List Table 5 Dark Accent 6" w:uiPriority="50"/>
    <w:lsdException w:name="Medium List 1 Accent 1" w:uiPriority="65"/>
    <w:lsdException w:name="HTML Bottom of Form" w:uiPriority="99" w:semiHidden="1" w:unhideWhenUsed="1"/>
    <w:lsdException w:name="Medium Grid 1 Accent 4" w:uiPriority="67"/>
    <w:lsdException w:name="Medium List 1 Accent 2" w:uiPriority="65"/>
    <w:lsdException w:name="HTML Cite" w:uiPriority="99"/>
    <w:lsdException w:name="Grid Table 5 Dark Accent 3" w:uiPriority="50"/>
    <w:lsdException w:name="List Table 3 Accent 6" w:uiPriority="48"/>
    <w:lsdException w:name="Medium Grid 3 Accent 5" w:uiPriority="69"/>
    <w:lsdException w:name="heading 9" w:unhideWhenUsed="1" w:qFormat="1"/>
    <w:lsdException w:name="List Table 7 Colorful Accent 6" w:uiPriority="52"/>
    <w:lsdException w:name="Medium Shading 1 Accent 2" w:uiPriority="63"/>
    <w:lsdException w:name="Grid Table 5 Dark" w:uiPriority="50"/>
    <w:lsdException w:name="Outline List 3" w:uiPriority="99" w:semiHidden="1" w:unhideWhenUsed="1"/>
    <w:lsdException w:name="List Table 2 Accent 3" w:uiPriority="47"/>
    <w:lsdException w:name="Table 3D effects 2" w:semiHidden="1" w:unhideWhenUsed="1"/>
    <w:lsdException w:name="Table Professional" w:semiHidden="1" w:unhideWhenUsed="1"/>
    <w:lsdException w:name="List Table 2 Accent 2" w:uiPriority="47"/>
    <w:lsdException w:name="List Table 7 Colorful Accent 5" w:uiPriority="52"/>
    <w:lsdException w:name="List Table 4 Accent 1" w:uiPriority="49"/>
    <w:lsdException w:name="Table Grid 1" w:semiHidden="1" w:unhideWhenUsed="1"/>
    <w:lsdException w:name="Emphasis" w:qFormat="1"/>
    <w:lsdException w:name="Grid Table 5 Dark Accent 2" w:uiPriority="50"/>
    <w:lsdException w:name="Grid Table 7 Colorful Accent 4" w:uiPriority="52"/>
    <w:lsdException w:name="List Table 3 Accent 5" w:uiPriority="48"/>
    <w:lsdException w:name="toc 5" w:uiPriority="99"/>
    <w:lsdException w:name="Subtle Emphasis" w:uiPriority="19" w:qFormat="1"/>
    <w:lsdException w:name="Grid Table 3" w:uiPriority="48"/>
    <w:lsdException w:name="Table List 2" w:semiHidden="1" w:unhideWhenUsed="1"/>
    <w:lsdException w:name="Medium Shading 2 Accent 1" w:uiPriority="64"/>
    <w:lsdException w:name="Table Grid 7" w:semiHidden="1" w:unhideWhenUsed="1"/>
    <w:lsdException w:name="Table Web 3" w:semiHidden="1" w:unhideWhenUsed="1"/>
    <w:lsdException w:name="Grid Table 4 Accent 3" w:uiPriority="49"/>
    <w:lsdException w:name="toc 6" w:uiPriority="99"/>
    <w:lsdException w:name="Plain Table 1" w:uiPriority="41"/>
    <w:lsdException w:name="Table Subtle 2" w:semiHidden="1" w:unhideWhenUsed="1"/>
    <w:lsdException w:name="Medium List 2 Accent 2" w:uiPriority="66"/>
    <w:lsdException w:name="Colorful List Accent 5" w:uiPriority="72"/>
    <w:lsdException w:name="Grid Table 7 Colorful Accent 1" w:uiPriority="52"/>
    <w:lsdException w:name="Colorful List Accent 1" w:uiPriority="72"/>
    <w:lsdException w:name="Table Colorful 3" w:semiHidden="1" w:unhideWhenUsed="1"/>
    <w:lsdException w:name="Light Grid Accent 1" w:uiPriority="62"/>
    <w:lsdException w:name="Table Contemporary" w:semiHidden="1" w:unhideWhenUsed="1"/>
    <w:lsdException w:name="Default Paragraph Font" w:uiPriority="1" w:semiHidden="1" w:unhideWhenUsed="1"/>
    <w:lsdException w:name="List Table 1 Light Accent 1" w:uiPriority="46"/>
    <w:lsdException w:name="Table Simple 2" w:semiHidden="1" w:unhideWhenUsed="1"/>
    <w:lsdException w:name="Table Subtle 1" w:semiHidden="1" w:unhideWhenUsed="1"/>
    <w:lsdException w:name="Medium Shading 2 Accent 2" w:uiPriority="64"/>
    <w:lsdException w:name="List Table 4 Accent 3" w:uiPriority="49"/>
    <w:lsdException w:name="List Table 2" w:uiPriority="47"/>
    <w:lsdException w:name="Table Classic 2" w:semiHidden="1" w:unhideWhenUsed="1"/>
    <w:lsdException w:name="List Table 3 Accent 4" w:uiPriority="48"/>
    <w:lsdException w:name="Medium Grid 3 Accent 1" w:uiPriority="69"/>
    <w:lsdException w:name="Table Grid 2" w:semiHidden="1" w:unhideWhenUsed="1"/>
    <w:lsdException w:name="List Table 2 Accent 1" w:uiPriority="47"/>
    <w:lsdException w:name="Grid Table 5 Dark Accent 4" w:uiPriority="50"/>
    <w:lsdException w:name="Dark List Accent 3" w:uiPriority="70"/>
    <w:lsdException w:name="Medium Grid 3 Accent 4" w:uiPriority="69"/>
    <w:lsdException w:name="TOC Heading" w:uiPriority="39" w:semiHidden="1" w:unhideWhenUsed="1" w:qFormat="1"/>
    <w:lsdException w:name="Light Grid Accent 6" w:uiPriority="62"/>
    <w:lsdException w:name="Grid Table 7 Colorful" w:uiPriority="52"/>
    <w:lsdException w:name="toc 9" w:uiPriority="99"/>
    <w:lsdException w:name="Medium List 2 Accent 5" w:uiPriority="66"/>
    <w:lsdException w:name="Colorful Grid Accent 5" w:uiPriority="73"/>
    <w:lsdException w:name="HTML Sample" w:uiPriority="99"/>
    <w:lsdException w:name="Medium Grid 1 Accent 3" w:uiPriority="67"/>
    <w:lsdException w:name="Light List Accent 6" w:uiPriority="61"/>
    <w:lsdException w:name="Colorful List Accent 3" w:uiPriority="72"/>
    <w:lsdException w:name="Light Shading Accent 2" w:uiPriority="60"/>
    <w:lsdException w:name="HTML Code" w:uiPriority="99"/>
    <w:lsdException w:name="Medium Grid 2 Accent 5" w:uiPriority="68"/>
    <w:lsdException w:name="Intense Reference" w:uiPriority="32" w:qFormat="1"/>
    <w:lsdException w:name="Quote" w:uiPriority="99"/>
    <w:lsdException w:name="List Table 6 Colorful Accent 2" w:uiPriority="51"/>
    <w:lsdException w:name="Grid Table 3 Accent 2" w:uiPriority="48"/>
    <w:lsdException w:name="List Table 3 Accent 2" w:uiPriority="48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5" Type="http://schemas.openxmlformats.org/officeDocument/2006/relationships/image" Target="media/image1.png" /><Relationship Id="rId7" Type="http://schemas.openxmlformats.org/officeDocument/2006/relationships/image" Target="media/image3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8" Type="http://schemas.openxmlformats.org/officeDocument/2006/relationships/image" Target="media/image4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12" Type="http://schemas.openxmlformats.org/officeDocument/2006/relationships/image" Target="media/image8.png" /><Relationship Id="rId21" Type="http://schemas.openxmlformats.org/officeDocument/2006/relationships/image" Target="media/image17.png" /><Relationship Id="rId11" Type="http://schemas.openxmlformats.org/officeDocument/2006/relationships/image" Target="media/image7.png" /><Relationship Id="rId26" Type="http://schemas.openxmlformats.org/officeDocument/2006/relationships/image" Target="media/image22.png" /><Relationship Id="rId18" Type="http://schemas.openxmlformats.org/officeDocument/2006/relationships/image" Target="media/image14.png" /><Relationship Id="rId22" Type="http://schemas.openxmlformats.org/officeDocument/2006/relationships/image" Target="media/image18.png" /><Relationship Id="rId10" Type="http://schemas.openxmlformats.org/officeDocument/2006/relationships/image" Target="media/image6.png" /><Relationship Id="rId0" Type="http://schemas.openxmlformats.org/officeDocument/2006/relationships/styles" Target="styles.xml" /><Relationship Id="rId27" Type="http://schemas.openxmlformats.org/officeDocument/2006/relationships/image" Target="media/image23.png" /><Relationship Id="rId1" Type="http://schemas.openxmlformats.org/officeDocument/2006/relationships/settings" Target="settings.xml" /><Relationship Id="rId14" Type="http://schemas.openxmlformats.org/officeDocument/2006/relationships/image" Target="media/image10.png" /><Relationship Id="rId2" Type="http://schemas.openxmlformats.org/officeDocument/2006/relationships/fontTable" Target="fontTable.xml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17" Type="http://schemas.openxmlformats.org/officeDocument/2006/relationships/image" Target="media/image13.png" /><Relationship Id="rId13" Type="http://schemas.openxmlformats.org/officeDocument/2006/relationships/image" Target="media/image9.png" /><Relationship Id="rId16" Type="http://schemas.openxmlformats.org/officeDocument/2006/relationships/image" Target="media/image12.png" /><Relationship Id="rId19" Type="http://schemas.openxmlformats.org/officeDocument/2006/relationships/image" Target="media/image15.png" /><Relationship Id="rId6" Type="http://schemas.openxmlformats.org/officeDocument/2006/relationships/image" Target="media/image2.png" /><Relationship Id="rId20" Type="http://schemas.openxmlformats.org/officeDocument/2006/relationships/image" Target="media/image1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2026-06-25T14:24:33Z</dcterms:created>
  <dcterms:modified xsi:type="dcterms:W3CDTF">2026-06-25T14:24:33Z</dcterms:modified>
</cp:coreProperties>
</file>