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E4450"/>
        </w:rPr>
        <w:t xml:space="preserve">«Машина времени: Сахалин»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434343"/>
        </w:rPr>
        <w:t xml:space="preserve">Паспорт проекта · дорожная карта · журнал решений · риски · Документ 04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1. Паспорт проекта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Проект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Интерактивная AI-фотоинсталляция «Машина времени: Сахалин»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Исполнитель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ООО «Интеллектуальные терминалы» (IQTER)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Целевая площадка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Дальневосточный энергетический форум «Нефть и Газ Сахалина 2026»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Суть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Стенд с iPad: гость выбирает локацию Сахалина, фотографируется, ИИ помещает его в сцену (2–3 варианта), выбранный кадр печатается фото-карточкой с логотипами партнёров + цифровая версия по QR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Ключевой результат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Вовлечение аудитории и вирусный охват, брендирование партнёров на каждом кадре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2. Дорожная карта (этапы)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Этап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Эпик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Содержание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1. Проектирование и прототип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EPIC-00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Бенчмарк моделей, референсы и промпты, BOM, KPI, сквозной прототип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2. Фундамент платформы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EPIC-01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Веб-приложение под iPad, бэкенд, БД, машина состояний цикла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2. Шлюз генерации и пайплайн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EPIC-02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Провайдеры Gemini/Replicate/GPU, 2–3 варианта, fallback, локации/пресеты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2–3. Композитинг и печать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EPIC-03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Карточка с логотипами, принт-агент CUPS, QR-выдача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2–3. Киоск-UX и админка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EPIC-04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Флоу гостя, гид-доступ, мониторинг, локализация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4–5. Сборка и полевые испытания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EPIC-05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Сборка стенда, интеграционный и нагрузочный тест, приёмка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3. Журнал ключевых решений (ADR)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#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Решение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Обоснование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ADR-1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Логотипы партнёров не генерируются ИИ — накладываются композитингом по шаблону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Модели рисуют текст/логотипы нестабильно; композитинг гарантирует идентичный брендинг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ADR-2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Печать через локальный принт-агент (CUPS), не напрямую из браузера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Контроль формата карточки и очереди сублимационной печати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ADR-3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Клиент — веб-киоск на iPad (гид-доступ)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Простота, переиспользование ядра веб-версией; вся логика на бэкенде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ADR-4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Подготовленные референсы локаций + выверенные промпты (image-to-image)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Узнаваемость реальных объектов и стабильность качества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ADR-5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Генерация 2–3 вариантов на выбор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Выше удовлетворённость, компенсация единичных неудачных кадров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ADR-6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Основной провайдер — Gemini «Nano Banana Pro»; резерв — Replicate; offline — локальный GPU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Лучшее сохранение личности и фотореализм при управляемой стоимости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4. Реестр рисков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Риск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Влияние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Мера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Качество face-preserving на «сложных» лицах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Высокое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Бенчмарк провайдеров, 2–3 варианта, выверенные промпты, чек-лист качества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Узнаваемость реальных локаций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Среднее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Качественные референсы, image-to-image, приёмка по чек-листу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Нестабильный интернет на площадке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Высокое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Fallback: Replicate → локальный GPU; резервный канал связи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Скорость полного цикла в час пик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Высокое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Параллельная генерация, очереди, нагрузочный тест, KPI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Надёжность печати и запас расходников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Среднее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Принт-агент со статусами, расчёт запаса, уведомления оператору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Стоимость облачной генерации при высоком потоке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Среднее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Резерв на Replicate/GPU, лимиты, мониторинг расхода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5. Целевые показатели (KPI)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Время генерации кадра — 20–40 с (согласуется на Этапе 1);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Время полного цикла гостя — 1,5–2 мин;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Пропускная способность — гостей/час (согласуется на Этапе 1);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Доля удачных кадров (по чек-листу качества) — целевое значение согласуется.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6. Связанные документы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ТЗ, Концепция (Vision &amp; Scope), Реестр документации — раздел 00–01;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Каталог локаций и промптов, Промпты для тестирования — раздел 01;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Архитектурный альбом и схемы — раздел 02;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Эпики и Задачи — раздел 05.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Конец документа. · Дата: 17.07.2026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