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rPr>
          <w:b/>
          <w:bCs/>
          <w:sz w:val="40"/>
          <w:szCs w:val="40"/>
          <w:rtl w:val="0"/>
        </w:rPr>
        <w:t>UVM FINAL PROJECT SPECIFICATION</w:t>
      </w:r>
      <w:r>
        <w:rPr>
          <w:b/>
          <w:bCs/>
          <w:sz w:val="40"/>
          <w:szCs w:val="40"/>
          <w:rtl w:val="0"/>
        </w:rPr>
        <w:br w:type="textWrapping"/>
      </w:r>
      <w:r>
        <w:rPr>
          <w:b/>
          <w:bCs/>
          <w:sz w:val="40"/>
          <w:szCs w:val="40"/>
          <w:rtl w:val="0"/>
        </w:rPr>
        <w:t>AXI4-to-APB Bridge Verification</w:t>
      </w:r>
    </w:p>
    <w:p w14:paraId="00000002">
      <w:pPr>
        <w:jc w:val="center"/>
      </w:pPr>
      <w:r>
        <w:rPr>
          <w:b/>
          <w:bCs/>
          <w:sz w:val="24"/>
          <w:szCs w:val="24"/>
          <w:rtl w:val="0"/>
        </w:rPr>
        <w:t>Dual-Agent UVM Verification Project</w:t>
      </w:r>
    </w:p>
    <w:p w14:paraId="00000003"/>
    <w:p w14:paraId="00000004">
      <w:pPr>
        <w:pStyle w:val="2"/>
      </w:pPr>
      <w:r>
        <w:rPr>
          <w:rtl w:val="0"/>
        </w:rPr>
        <w:t>1. Project Overview</w:t>
      </w:r>
    </w:p>
    <w:p w14:paraId="00000005">
      <w:pPr>
        <w:jc w:val="both"/>
      </w:pPr>
      <w:r>
        <w:rPr>
          <w:rtl w:val="0"/>
        </w:rPr>
        <w:t>The objective of this final project is to develop a reusable UVM verification environment for the provided AXI4-to-APB bridge (axi2apb). The DUT converts AXI-side read/write requests into APB-side transfers and returns APB completion/data to the AXI side. Trainees must verify the RTL using a dual-agent UVM environment consisting of an AXI agent and an APB agent, together with a scoreboard, functional coverage, assertions, sequences, and directed/random tests.</w:t>
      </w:r>
    </w:p>
    <w:p w14:paraId="00000006">
      <w:pPr>
        <w:jc w:val="both"/>
      </w:pPr>
      <w:r>
        <w:rPr>
          <w:rtl w:val="0"/>
        </w:rPr>
        <w:t>The project is based on the provided PULP-platform axi2apb RTL. The upstream repository is archived and points to a newer replacement, so this project must verify the exact RTL supplied for the training exercise rather than assuming features that are not implemented by this version.</w:t>
      </w:r>
    </w:p>
    <w:p w14:paraId="00000007">
      <w:pPr>
        <w:pStyle w:val="2"/>
      </w:pPr>
      <w:r>
        <w:rPr>
          <w:rtl w:val="0"/>
        </w:rPr>
        <w:t>2. Learning Objectives</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Understand the AXI4 and APB interfaces at the transaction and signal level.</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and analyze an unfamiliar RTL design before developing a UVM environment.</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Build reusable AXI and APB UVM agents.</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Use sequence items, sequences, sequencers, drivers, monitors, agents, environment, scoreboard, coverage, and assertions.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Verify protocol handshakes, wait states, data/control propagation, and response behavior.</w:t>
      </w: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Develop a reference/prediction model for an interface bridge.</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Use directed, constrained-random, and corner-case stimulus.</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Use GitHub for version control, daily progress tracking, and milestone-based delivery.</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Produce a verification plan and final verification report supported by simulation evidence and coverage.</w:t>
      </w:r>
    </w:p>
    <w:p w14:paraId="00000011">
      <w:pPr>
        <w:pStyle w:val="2"/>
      </w:pPr>
      <w:r>
        <w:rPr>
          <w:rtl w:val="0"/>
        </w:rPr>
        <w:t>3. DUT Description</w:t>
      </w:r>
    </w:p>
    <w:p w14:paraId="00000012">
      <w:pPr>
        <w:jc w:val="both"/>
      </w:pPr>
      <w:r>
        <w:rPr>
          <w:rtl w:val="0"/>
        </w:rPr>
        <w:t>The top-level DUT is the module axi2apb. The supplied RTL has configurable AXI address/data widths, AXI ID and USER widths, APB address width, and AXI-side buffer depth. The default parameters in the supplied source are:</w:t>
      </w:r>
    </w:p>
    <w:tbl>
      <w:tblPr>
        <w:tblStyle w:val="13"/>
        <w:tblW w:w="993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2"/>
        <w:gridCol w:w="3312"/>
        <w:gridCol w:w="3312"/>
      </w:tblGrid>
      <w:tr w14:paraId="706BD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3">
            <w:pPr>
              <w:spacing w:after="0" w:line="240" w:lineRule="auto"/>
            </w:pPr>
            <w:r>
              <w:rPr>
                <w:rtl w:val="0"/>
              </w:rPr>
              <w:t>Parameter</w:t>
            </w:r>
          </w:p>
        </w:tc>
        <w:tc>
          <w:p w14:paraId="00000014">
            <w:pPr>
              <w:spacing w:after="0" w:line="240" w:lineRule="auto"/>
            </w:pPr>
            <w:r>
              <w:rPr>
                <w:rtl w:val="0"/>
              </w:rPr>
              <w:t>Default</w:t>
            </w:r>
          </w:p>
        </w:tc>
        <w:tc>
          <w:p w14:paraId="00000015">
            <w:pPr>
              <w:spacing w:after="0" w:line="240" w:lineRule="auto"/>
            </w:pPr>
            <w:r>
              <w:rPr>
                <w:rtl w:val="0"/>
              </w:rPr>
              <w:t>Purpose</w:t>
            </w:r>
          </w:p>
        </w:tc>
      </w:tr>
      <w:tr w14:paraId="4129A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6">
            <w:pPr>
              <w:spacing w:after="0" w:line="240" w:lineRule="auto"/>
            </w:pPr>
            <w:r>
              <w:rPr>
                <w:rtl w:val="0"/>
              </w:rPr>
              <w:t>AXI4_ADDRESS_WIDTH</w:t>
            </w:r>
          </w:p>
        </w:tc>
        <w:tc>
          <w:p w14:paraId="00000017">
            <w:pPr>
              <w:spacing w:after="0" w:line="240" w:lineRule="auto"/>
            </w:pPr>
            <w:r>
              <w:rPr>
                <w:rtl w:val="0"/>
              </w:rPr>
              <w:t>32</w:t>
            </w:r>
          </w:p>
        </w:tc>
        <w:tc>
          <w:p w14:paraId="00000018">
            <w:pPr>
              <w:spacing w:after="0" w:line="240" w:lineRule="auto"/>
            </w:pPr>
            <w:r>
              <w:rPr>
                <w:rtl w:val="0"/>
              </w:rPr>
              <w:t>AXI address width</w:t>
            </w:r>
          </w:p>
        </w:tc>
      </w:tr>
      <w:tr w14:paraId="6FFBD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9">
            <w:pPr>
              <w:spacing w:after="0" w:line="240" w:lineRule="auto"/>
            </w:pPr>
            <w:r>
              <w:rPr>
                <w:rtl w:val="0"/>
              </w:rPr>
              <w:t>AXI4_RDATA_WIDTH</w:t>
            </w:r>
          </w:p>
        </w:tc>
        <w:tc>
          <w:p w14:paraId="0000001A">
            <w:pPr>
              <w:spacing w:after="0" w:line="240" w:lineRule="auto"/>
            </w:pPr>
            <w:r>
              <w:rPr>
                <w:rtl w:val="0"/>
              </w:rPr>
              <w:t>32</w:t>
            </w:r>
          </w:p>
        </w:tc>
        <w:tc>
          <w:p w14:paraId="0000001B">
            <w:pPr>
              <w:spacing w:after="0" w:line="240" w:lineRule="auto"/>
            </w:pPr>
            <w:r>
              <w:rPr>
                <w:rtl w:val="0"/>
              </w:rPr>
              <w:t>AXI read-data width</w:t>
            </w:r>
          </w:p>
        </w:tc>
      </w:tr>
      <w:tr w14:paraId="4693E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C">
            <w:pPr>
              <w:spacing w:after="0" w:line="240" w:lineRule="auto"/>
            </w:pPr>
            <w:r>
              <w:rPr>
                <w:rtl w:val="0"/>
              </w:rPr>
              <w:t>AXI4_WDATA_WIDTH</w:t>
            </w:r>
          </w:p>
        </w:tc>
        <w:tc>
          <w:p w14:paraId="0000001D">
            <w:pPr>
              <w:spacing w:after="0" w:line="240" w:lineRule="auto"/>
            </w:pPr>
            <w:r>
              <w:rPr>
                <w:rtl w:val="0"/>
              </w:rPr>
              <w:t>32</w:t>
            </w:r>
          </w:p>
        </w:tc>
        <w:tc>
          <w:p w14:paraId="0000001E">
            <w:pPr>
              <w:spacing w:after="0" w:line="240" w:lineRule="auto"/>
            </w:pPr>
            <w:r>
              <w:rPr>
                <w:rtl w:val="0"/>
              </w:rPr>
              <w:t>AXI write-data width</w:t>
            </w:r>
          </w:p>
        </w:tc>
      </w:tr>
      <w:tr w14:paraId="39053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F">
            <w:pPr>
              <w:spacing w:after="0" w:line="240" w:lineRule="auto"/>
            </w:pPr>
            <w:r>
              <w:rPr>
                <w:rtl w:val="0"/>
              </w:rPr>
              <w:t>AXI4_ID_WIDTH</w:t>
            </w:r>
          </w:p>
        </w:tc>
        <w:tc>
          <w:p w14:paraId="00000020">
            <w:pPr>
              <w:spacing w:after="0" w:line="240" w:lineRule="auto"/>
            </w:pPr>
            <w:r>
              <w:rPr>
                <w:rtl w:val="0"/>
              </w:rPr>
              <w:t>16</w:t>
            </w:r>
          </w:p>
        </w:tc>
        <w:tc>
          <w:p w14:paraId="00000021">
            <w:pPr>
              <w:spacing w:after="0" w:line="240" w:lineRule="auto"/>
            </w:pPr>
            <w:r>
              <w:rPr>
                <w:rtl w:val="0"/>
              </w:rPr>
              <w:t>AXI ID width</w:t>
            </w:r>
          </w:p>
        </w:tc>
      </w:tr>
      <w:tr w14:paraId="05F06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2">
            <w:pPr>
              <w:spacing w:after="0" w:line="240" w:lineRule="auto"/>
            </w:pPr>
            <w:r>
              <w:rPr>
                <w:rtl w:val="0"/>
              </w:rPr>
              <w:t>AXI4_USER_WIDTH</w:t>
            </w:r>
          </w:p>
        </w:tc>
        <w:tc>
          <w:p w14:paraId="00000023">
            <w:pPr>
              <w:spacing w:after="0" w:line="240" w:lineRule="auto"/>
            </w:pPr>
            <w:r>
              <w:rPr>
                <w:rtl w:val="0"/>
              </w:rPr>
              <w:t>10</w:t>
            </w:r>
          </w:p>
        </w:tc>
        <w:tc>
          <w:p w14:paraId="00000024">
            <w:pPr>
              <w:spacing w:after="0" w:line="240" w:lineRule="auto"/>
            </w:pPr>
            <w:r>
              <w:rPr>
                <w:rtl w:val="0"/>
              </w:rPr>
              <w:t>AXI USER width</w:t>
            </w:r>
          </w:p>
        </w:tc>
      </w:tr>
      <w:tr w14:paraId="5AF32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5">
            <w:pPr>
              <w:spacing w:after="0" w:line="240" w:lineRule="auto"/>
            </w:pPr>
            <w:r>
              <w:rPr>
                <w:rtl w:val="0"/>
              </w:rPr>
              <w:t>AXI_NUMBYTES</w:t>
            </w:r>
          </w:p>
        </w:tc>
        <w:tc>
          <w:p w14:paraId="00000026">
            <w:pPr>
              <w:spacing w:after="0" w:line="240" w:lineRule="auto"/>
            </w:pPr>
            <w:r>
              <w:rPr>
                <w:rtl w:val="0"/>
              </w:rPr>
              <w:t>AXI4_WDATA_WIDTH/8</w:t>
            </w:r>
          </w:p>
        </w:tc>
        <w:tc>
          <w:p w14:paraId="00000027">
            <w:pPr>
              <w:spacing w:after="0" w:line="240" w:lineRule="auto"/>
            </w:pPr>
            <w:r>
              <w:rPr>
                <w:rtl w:val="0"/>
              </w:rPr>
              <w:t>Write-strobe width</w:t>
            </w:r>
          </w:p>
        </w:tc>
      </w:tr>
      <w:tr w14:paraId="0DF09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8">
            <w:pPr>
              <w:spacing w:after="0" w:line="240" w:lineRule="auto"/>
            </w:pPr>
            <w:r>
              <w:rPr>
                <w:rtl w:val="0"/>
              </w:rPr>
              <w:t>BUFF_DEPTH_SLAVE</w:t>
            </w:r>
          </w:p>
        </w:tc>
        <w:tc>
          <w:p w14:paraId="00000029">
            <w:pPr>
              <w:spacing w:after="0" w:line="240" w:lineRule="auto"/>
            </w:pPr>
            <w:r>
              <w:rPr>
                <w:rtl w:val="0"/>
              </w:rPr>
              <w:t>4</w:t>
            </w:r>
          </w:p>
        </w:tc>
        <w:tc>
          <w:p w14:paraId="0000002A">
            <w:pPr>
              <w:spacing w:after="0" w:line="240" w:lineRule="auto"/>
            </w:pPr>
            <w:r>
              <w:rPr>
                <w:rtl w:val="0"/>
              </w:rPr>
              <w:t>AXI buffering depth</w:t>
            </w:r>
          </w:p>
        </w:tc>
      </w:tr>
      <w:tr w14:paraId="2B90F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B">
            <w:pPr>
              <w:spacing w:after="0" w:line="240" w:lineRule="auto"/>
            </w:pPr>
            <w:r>
              <w:rPr>
                <w:rtl w:val="0"/>
              </w:rPr>
              <w:t>APB_ADDR_WIDTH</w:t>
            </w:r>
          </w:p>
        </w:tc>
        <w:tc>
          <w:p w14:paraId="0000002C">
            <w:pPr>
              <w:spacing w:after="0" w:line="240" w:lineRule="auto"/>
            </w:pPr>
            <w:r>
              <w:rPr>
                <w:rtl w:val="0"/>
              </w:rPr>
              <w:t>32</w:t>
            </w:r>
          </w:p>
        </w:tc>
        <w:tc>
          <w:p w14:paraId="0000002D">
            <w:pPr>
              <w:spacing w:after="0" w:line="240" w:lineRule="auto"/>
            </w:pPr>
            <w:r>
              <w:rPr>
                <w:rtl w:val="0"/>
              </w:rPr>
              <w:t>APB address width</w:t>
            </w:r>
          </w:p>
        </w:tc>
      </w:tr>
    </w:tbl>
    <w:p w14:paraId="0000002E">
      <w:pPr>
        <w:pStyle w:val="3"/>
      </w:pPr>
      <w:r>
        <w:rPr>
          <w:rtl w:val="0"/>
        </w:rPr>
        <w:t>3.1 AXI Interface Scope</w:t>
      </w:r>
    </w:p>
    <w:p w14:paraId="0000002F">
      <w:pPr>
        <w:jc w:val="both"/>
      </w:pPr>
      <w:r>
        <w:rPr>
          <w:rtl w:val="0"/>
        </w:rPr>
        <w:t>The DUT exposes AXI write-address, write-data, write-response, read-address, and read-data channels. The provided RTL includes buffering for the AXI address/data/response paths. The bridge FSM contains IDLE, DONE_SINGLE_RD, WAIT_W_PREADY, WAIT_R_PREADY, and SEND_B_RESP states.</w:t>
      </w:r>
    </w:p>
    <w:p w14:paraId="00000030">
      <w:pPr>
        <w:pStyle w:val="3"/>
      </w:pPr>
      <w:r>
        <w:rPr>
          <w:rtl w:val="0"/>
        </w:rPr>
        <w:t>3.2 APB Interface Scope</w:t>
      </w:r>
    </w:p>
    <w:p w14:paraId="00000031">
      <w:pPr>
        <w:jc w:val="both"/>
      </w:pPr>
      <w:r>
        <w:rPr>
          <w:rtl w:val="0"/>
        </w:rPr>
        <w:t>The APB side exposes PENABLE, PWRITE, PADDR, PSEL, and PWDATA as outputs and receives PRDATA, PREADY, and PSLVERR as inputs. In the supplied RTL, PSEL is assigned to 1'b1, PENABLE is asserted when a read or write request is active, PWRITE indicates a write request, and PADDR is taken from the lower APB address-width bits.</w:t>
      </w:r>
    </w:p>
    <w:p w14:paraId="00000032">
      <w:pPr>
        <w:pStyle w:val="2"/>
      </w:pPr>
      <w:r>
        <w:rPr>
          <w:rtl w:val="0"/>
        </w:rPr>
        <w:t>4. Important RTL Observations — Must Be Used in the Verification Plan</w:t>
      </w:r>
    </w:p>
    <w:p w14:paraId="000000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IDLE state gives priority to ARVALID over AWVALID. If both a read and write request are presented together, the read path is selected first.</w:t>
      </w:r>
    </w:p>
    <w:p w14:paraId="0000003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 write is accepted by the bridge FSM only when both a valid write address and valid write data are available together.</w:t>
      </w:r>
    </w:p>
    <w:p w14:paraId="0000003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 write waits in WAIT_W_PREADY while APB PREADY is low, and moves to SEND_B_RESP when PREADY becomes high.</w:t>
      </w:r>
    </w:p>
    <w:p w14:paraId="0000003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 read waits in WAIT_R_PREADY while APB PREADY is low. When PREADY becomes high, PRDATA is sampled into RDATA_Q and the bridge moves to DONE_SINGLE_RD.</w:t>
      </w:r>
    </w:p>
    <w:p w14:paraId="000000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read response asserts RVALID and RLAST. The response completes when RREADY is observed high.</w:t>
      </w:r>
    </w:p>
    <w:p w14:paraId="000000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write response asserts BVALID and uses the captured AWID/AWUSER path for BID/BUSER.</w:t>
      </w:r>
    </w:p>
    <w:p w14:paraId="00000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current RTL assigns BRESP and RRESP to OKAY by default and does not use PSLVERR in the FSM. Therefore, trainees must not assume that driving PSLVERR automatically produces SLVERR; the actual behavior of this supplied RTL must be verified and documented.</w:t>
      </w:r>
    </w:p>
    <w:p w14:paraId="000000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current FSM is explicitly centered on single-read completion (DONE_SINGLE_RD) and does not implement burst address progression. Burst-related AXI fields exist in the interface/buffers, but trainees must verify the implemented behavior rather than claim full burst conversion.</w:t>
      </w:r>
    </w:p>
    <w:p w14:paraId="0000003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The DUT receives WSTRB and WLAST, but the bridge FSM does not use them in its APB transfer generation. Their observed behavior should be documented in the verification report.</w:t>
      </w:r>
    </w:p>
    <w:p w14:paraId="00000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Reset is active-low and asynchronous in the main FSM: ARESETn low forces CS to IDLE and clears RDATA_Q.</w:t>
      </w:r>
    </w:p>
    <w:p w14:paraId="0000003D">
      <w:pPr>
        <w:pStyle w:val="2"/>
      </w:pPr>
      <w:r>
        <w:rPr>
          <w:rtl w:val="0"/>
        </w:rPr>
        <w:t>5. Project Rule: Do Not Modify the DUT</w:t>
      </w:r>
    </w:p>
    <w:p w14:paraId="0000003E">
      <w:pPr>
        <w:jc w:val="both"/>
      </w:pPr>
      <w:r>
        <w:rPr>
          <w:rtl w:val="0"/>
        </w:rPr>
        <w:t>The supplied RTL and its dependent RTL modules are the design under verification. Trainees must not modify the DUT to make tests pass. Any compile or lint issue caused by the provided source/dependencies must be reported to the instructor before making a design change. Testbench-only changes are permitted.</w:t>
      </w:r>
    </w:p>
    <w:p w14:paraId="0000003F">
      <w:pPr>
        <w:pStyle w:val="2"/>
      </w:pPr>
      <w:r>
        <w:rPr>
          <w:rtl w:val="0"/>
        </w:rPr>
        <w:t>6. Milestone 0 — Repository and GitHub Setup</w:t>
      </w:r>
    </w:p>
    <w:p w14:paraId="00000040">
      <w:pPr>
        <w:jc w:val="both"/>
      </w:pPr>
      <w:r>
        <w:rPr>
          <w:rtl w:val="0"/>
        </w:rPr>
        <w:t>Before verification work begins, create a dedicated Git repository for the project.</w:t>
      </w:r>
    </w:p>
    <w:p w14:paraId="000000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 repository with a clear project name such as axi2apb_uvm_verification.</w:t>
      </w:r>
    </w:p>
    <w:p w14:paraId="000000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folders for rtl/, tb/, uvm/, sequences/, tests/, assertions/, coverage/, scripts/, docs/, logs/, and results/ as appropriate.</w:t>
      </w:r>
    </w:p>
    <w:p w14:paraId="00000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Add a README.md containing project objective, DUT source, simulator, tool versions, and current status.</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Add a .gitignore so generated simulator databases, logs, temporary files, and build artifacts are not committed.</w:t>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Make the first commit after repository setup.</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Push the repository to GitHub and share the repository link with the instructor.</w:t>
      </w:r>
    </w:p>
    <w:p w14:paraId="00000047">
      <w:pPr>
        <w:pStyle w:val="2"/>
      </w:pPr>
      <w:r>
        <w:rPr>
          <w:rtl w:val="0"/>
        </w:rPr>
        <w:t>7. Milestone 1 — Compile the DUT</w:t>
      </w:r>
    </w:p>
    <w:p w14:paraId="00000048">
      <w:pPr>
        <w:jc w:val="both"/>
      </w:pPr>
      <w:r>
        <w:rPr>
          <w:rtl w:val="0"/>
        </w:rPr>
        <w:t>The first technical task is to compile the complete DUT and all required dependent modules without building any UVM environment.</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Identify every RTL dependency instantiated by axi2apb, including the AXI AW, AR, W, R, and B buffer modules.</w:t>
      </w:r>
    </w:p>
    <w:p w14:paraId="0000004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Prepare an RTL file list in dependency-safe order.</w:t>
      </w:r>
    </w:p>
    <w:p w14:paraId="000000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 repeatable compile script/Makefile for the selected simulator.</w:t>
      </w:r>
    </w:p>
    <w:p w14:paraId="000000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Compile the DUT with the default parameters.</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Compile/elaborate a minimal DUT-only top or smoke test.</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Resolve missing-file, include-path, package, parameter, and elaboration issues.</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Record the exact compile command and successful result in the repository.</w:t>
      </w:r>
    </w:p>
    <w:p w14:paraId="00000050">
      <w:pPr>
        <w:jc w:val="both"/>
      </w:pPr>
      <w:r>
        <w:rPr>
          <w:rtl w:val="0"/>
        </w:rPr>
        <w:t>Deliverable: a clean RTL compilation/elaboration flow and a documented file list.</w:t>
      </w:r>
    </w:p>
    <w:p w14:paraId="00000051">
      <w:pPr>
        <w:pStyle w:val="2"/>
      </w:pPr>
      <w:r>
        <w:rPr>
          <w:rtl w:val="0"/>
        </w:rPr>
        <w:t>8. Milestone 2 — RTL Linting</w:t>
      </w:r>
    </w:p>
    <w:p w14:paraId="00000052">
      <w:pPr>
        <w:jc w:val="both"/>
      </w:pPr>
      <w:r>
        <w:rPr>
          <w:rtl w:val="0"/>
        </w:rPr>
        <w:t>Run linting on the complete DUT hierarchy before developing the UVM environment.</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Run the selected lint tool using the same RTL file list used for compilation.</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Review syntax, width, signedness, undriven/unconnected, combinational/sequential, FSM, and inferred-latch warnings.</w:t>
      </w:r>
    </w:p>
    <w:p w14:paraId="000000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Separate genuine DUT issues from tool/configuration issues.</w:t>
      </w:r>
    </w:p>
    <w:p w14:paraId="0000005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Do not silently waive warnings; document every important warning and its justification.</w:t>
      </w:r>
    </w:p>
    <w:p w14:paraId="0000005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 lint_summary.md or equivalent report containing error/warning counts and disposition.</w:t>
      </w:r>
    </w:p>
    <w:p w14:paraId="00000058">
      <w:pPr>
        <w:jc w:val="both"/>
      </w:pPr>
      <w:r>
        <w:rPr>
          <w:rtl w:val="0"/>
        </w:rPr>
        <w:t>Deliverable: clean or documented lint status.</w:t>
      </w:r>
    </w:p>
    <w:p w14:paraId="00000059">
      <w:pPr>
        <w:pStyle w:val="2"/>
      </w:pPr>
      <w:r>
        <w:rPr>
          <w:rtl w:val="0"/>
        </w:rPr>
        <w:t>9. Milestone 3 — DUT Analysis and Verification Plan</w:t>
      </w:r>
    </w:p>
    <w:p w14:paraId="0000005A">
      <w:pPr>
        <w:jc w:val="both"/>
      </w:pPr>
      <w:r>
        <w:rPr>
          <w:rtl w:val="0"/>
        </w:rPr>
        <w:t>Before writing UVM code, produce a verification plan from the RTL. The plan must map each DUT feature and state to one or more tests, checkers, assertions, and coverage points.</w:t>
      </w:r>
    </w:p>
    <w:p w14:paraId="0000005B">
      <w:pPr>
        <w:pStyle w:val="3"/>
      </w:pPr>
      <w:r>
        <w:rPr>
          <w:rtl w:val="0"/>
        </w:rPr>
        <w:t>Required verification-plan sections</w:t>
      </w:r>
    </w:p>
    <w:p w14:paraId="0000005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Reset behavior.</w:t>
      </w:r>
    </w:p>
    <w:p w14:paraId="000000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write-address handshake.</w:t>
      </w:r>
    </w:p>
    <w:p w14:paraId="0000005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write-data handshake.</w:t>
      </w:r>
    </w:p>
    <w:p w14:paraId="000000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Write conversion to APB: PADDR, PWRITE, PENABLE, PSEL, and PWDATA.</w:t>
      </w:r>
    </w:p>
    <w:p w14:paraId="000000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APB PREADY low/wait-state behavior for writes.</w:t>
      </w:r>
    </w:p>
    <w:p w14:paraId="0000006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B-channel response and BREADY backpressure.</w:t>
      </w:r>
    </w:p>
    <w:p w14:paraId="000000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read-address handshake.</w:t>
      </w:r>
    </w:p>
    <w:p w14:paraId="000000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conversion to APB.</w:t>
      </w:r>
    </w:p>
    <w:p w14:paraId="0000006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APB PREADY low/wait-state behavior for reads.</w:t>
      </w:r>
    </w:p>
    <w:p w14:paraId="000000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PRDATA capture and AXI RDATA response.</w:t>
      </w:r>
    </w:p>
    <w:p w14:paraId="000000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RVALID/RREADY backpressure and RLAST behavior.</w:t>
      </w:r>
    </w:p>
    <w:p w14:paraId="000000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ID and USER propagation for responses.</w:t>
      </w:r>
    </w:p>
    <w:p w14:paraId="000000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Simultaneous read/write request priority.</w:t>
      </w: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Back-to-back transactions.</w:t>
      </w:r>
    </w:p>
    <w:p w14:paraId="000000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0"/>
          <w:szCs w:val="20"/>
          <w:u w:val="none"/>
          <w:shd w:val="clear" w:fill="auto"/>
          <w:vertAlign w:val="baseline"/>
          <w:rtl w:val="0"/>
        </w:rPr>
        <w:t>Different address/data/ID/USER values.</w:t>
      </w:r>
    </w:p>
    <w:p w14:paraId="000000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0"/>
          <w:szCs w:val="20"/>
          <w:u w:val="none"/>
          <w:shd w:val="clear" w:fill="auto"/>
          <w:vertAlign w:val="baseline"/>
          <w:rtl w:val="0"/>
        </w:rPr>
        <w:t>Boundary addresses and parameter-width checks.</w:t>
      </w:r>
    </w:p>
    <w:p w14:paraId="0000006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0"/>
          <w:szCs w:val="20"/>
          <w:u w:val="none"/>
          <w:shd w:val="clear" w:fill="auto"/>
          <w:vertAlign w:val="baseline"/>
          <w:rtl w:val="0"/>
        </w:rPr>
        <w:t>PSLVERR behavior as implemented by the supplied RTL.</w:t>
      </w:r>
    </w:p>
    <w:p w14:paraId="0000006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pPr>
      <w:r>
        <w:rPr>
          <w:rFonts w:ascii="Arial" w:hAnsi="Arial" w:eastAsia="Arial" w:cs="Arial"/>
          <w:b w:val="0"/>
          <w:bCs w:val="0"/>
          <w:i w:val="0"/>
          <w:iCs w:val="0"/>
          <w:smallCaps w:val="0"/>
          <w:strike w:val="0"/>
          <w:color w:val="000000"/>
          <w:sz w:val="20"/>
          <w:szCs w:val="20"/>
          <w:u w:val="none"/>
          <w:shd w:val="clear" w:fill="auto"/>
          <w:vertAlign w:val="baseline"/>
          <w:rtl w:val="0"/>
        </w:rPr>
        <w:t>Unsupported or not-implemented features such as burst behavior, with results documented rather than assumed.</w:t>
      </w:r>
    </w:p>
    <w:p w14:paraId="0000006E">
      <w:pPr>
        <w:pStyle w:val="2"/>
      </w:pPr>
      <w:r>
        <w:rPr>
          <w:rtl w:val="0"/>
        </w:rPr>
        <w:t>10. Milestone 4 — Dual-Agent UVM Environment Architecture</w:t>
      </w:r>
    </w:p>
    <w:p w14:paraId="0000006F">
      <w:r>
        <w:rPr>
          <w:rtl w:val="0"/>
        </w:rPr>
        <w:t>Build a dual-agent environment. The AXI agent represents the AXI master side and the APB agent represents the APB slave side of the bridge.</w:t>
      </w:r>
    </w:p>
    <w:p w14:paraId="00000070">
      <w:pPr>
        <w:pStyle w:val="3"/>
      </w:pPr>
      <w:r>
        <w:rPr>
          <w:rtl w:val="0"/>
        </w:rPr>
        <w:t>Required architecture</w:t>
      </w:r>
    </w:p>
    <w:p w14:paraId="0000007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Master Agent: sequence item, sequencer, driver, monitor, and agent.</w:t>
      </w:r>
    </w:p>
    <w:p w14:paraId="0000007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APB Slave Agent: sequence item, sequencer, driver, monitor, and agent.</w:t>
      </w:r>
    </w:p>
    <w:p w14:paraId="0000007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Environment: contains AXI agent, APB agent, scoreboard, coverage collector, and optional protocol checkers.</w:t>
      </w:r>
    </w:p>
    <w:p w14:paraId="0000007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Test: configures the environment and starts the required virtual sequences.</w:t>
      </w:r>
    </w:p>
    <w:p w14:paraId="0000007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Virtual sequence: coordinates AXI requests with APB slave responses where necessary.</w:t>
      </w:r>
    </w:p>
    <w:p w14:paraId="00000076">
      <w:pPr>
        <w:pStyle w:val="3"/>
      </w:pPr>
      <w:r>
        <w:rPr>
          <w:rtl w:val="0"/>
        </w:rPr>
        <w:t>Recommended data flow</w:t>
      </w:r>
    </w:p>
    <w:p w14:paraId="00000077">
      <w:pPr>
        <w:jc w:val="both"/>
      </w:pPr>
      <w:r>
        <w:rPr>
          <w:rFonts w:ascii="Arial Unicode MS" w:hAnsi="Arial Unicode MS" w:eastAsia="Arial Unicode MS" w:cs="Arial Unicode MS"/>
          <w:rtl w:val="0"/>
        </w:rPr>
        <w:t>AXI sequence → AXI sequencer → AXI driver → DUT → APB interface → APB monitor/driver. The DUT response returns through the opposite direction to the AXI monitor. Both monitors feed transactions to the scoreboard and coverage collector through analysis ports.</w:t>
      </w:r>
    </w:p>
    <w:p w14:paraId="00000078">
      <w:pPr>
        <w:pStyle w:val="2"/>
      </w:pPr>
      <w:r>
        <w:rPr>
          <w:rtl w:val="0"/>
        </w:rPr>
        <w:t>11. Milestone 5 — UVM Agents</w:t>
      </w:r>
    </w:p>
    <w:p w14:paraId="00000079">
      <w:pPr>
        <w:pStyle w:val="3"/>
      </w:pPr>
      <w:r>
        <w:rPr>
          <w:rtl w:val="0"/>
        </w:rPr>
        <w:t>AXI Agent</w:t>
      </w:r>
    </w:p>
    <w:p w14:paraId="000000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an AXI transaction class containing the fields required by the DUT interface.</w:t>
      </w:r>
    </w:p>
    <w:p w14:paraId="000000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AXI master driver with correct VALID/READY handshakes.</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AXI monitor that reconstructs complete read/write transactions from channel activity.</w:t>
      </w:r>
    </w:p>
    <w:p w14:paraId="000000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sequencer and agent configuration.</w:t>
      </w:r>
    </w:p>
    <w:p w14:paraId="0000007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Support directed single-beat read and write transactions first.</w:t>
      </w:r>
    </w:p>
    <w:p w14:paraId="0000007F">
      <w:pPr>
        <w:pStyle w:val="3"/>
      </w:pPr>
      <w:r>
        <w:rPr>
          <w:rtl w:val="0"/>
        </w:rPr>
        <w:t>APB Agent</w:t>
      </w:r>
    </w:p>
    <w:p w14:paraId="000000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an APB transaction class containing address, direction, write data, read data, PREADY, and PSLVERR-related information as appropriate.</w:t>
      </w:r>
    </w:p>
    <w:p w14:paraId="000000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APB slave driver that responds to DUT APB requests and can insert programmable wait states.</w:t>
      </w:r>
    </w:p>
    <w:p w14:paraId="0000008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APB monitor that observes APB requests and completions.</w:t>
      </w:r>
    </w:p>
    <w:p w14:paraId="000000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Support configurable PRDATA, PREADY delay, and PSLVERR stimulus.</w:t>
      </w:r>
    </w:p>
    <w:p w14:paraId="0000008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Implement sequencer and agent configuration.</w:t>
      </w:r>
    </w:p>
    <w:p w14:paraId="00000085">
      <w:pPr>
        <w:pStyle w:val="2"/>
      </w:pPr>
      <w:r>
        <w:rPr>
          <w:rtl w:val="0"/>
        </w:rPr>
        <w:t>12. Milestone 6 — Scoreboard and Reference Model</w:t>
      </w:r>
    </w:p>
    <w:p w14:paraId="00000086">
      <w:pPr>
        <w:jc w:val="both"/>
      </w:pPr>
      <w:r>
        <w:rPr>
          <w:rtl w:val="0"/>
        </w:rPr>
        <w:t>The scoreboard must verify the functional conversion performed by the bridge. Do not compare only waveforms; compare transactions and protocol events.</w:t>
      </w:r>
    </w:p>
    <w:p w14:paraId="000000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For an AXI write, predict the corresponding APB address, write direction, and write data.</w:t>
      </w:r>
    </w:p>
    <w:p w14:paraId="000000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Confirm that the APB request occurs only after the required AXI-side information is available.</w:t>
      </w:r>
    </w:p>
    <w:p w14:paraId="000000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Confirm that APB wait states delay completion but do not corrupt address/data.</w:t>
      </w:r>
    </w:p>
    <w:p w14:paraId="0000008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Confirm that APB completion produces the expected AXI B-channel response for the supplied RTL.</w:t>
      </w:r>
    </w:p>
    <w:p w14:paraId="0000008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For an AXI read, predict the APB address and verify that APB PRDATA is returned as AXI RDATA.</w:t>
      </w:r>
    </w:p>
    <w:p w14:paraId="0000008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Verify AXI response ID/USER propagation where applicable.</w:t>
      </w:r>
    </w:p>
    <w:p w14:paraId="000000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Verify RLAST for the implemented single-read response.</w:t>
      </w:r>
    </w:p>
    <w:p w14:paraId="0000008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Correlate each request and response using transaction IDs/sequence information in the testbench.</w:t>
      </w:r>
    </w:p>
    <w:p w14:paraId="0000008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Report mismatches with enough information to debug address, data, response, and timing.</w:t>
      </w:r>
    </w:p>
    <w:p w14:paraId="00000090">
      <w:pPr>
        <w:pStyle w:val="2"/>
      </w:pPr>
      <w:r>
        <w:rPr>
          <w:rtl w:val="0"/>
        </w:rPr>
        <w:t>13. Milestone 7 — Assertions and Functional Coverage</w:t>
      </w:r>
    </w:p>
    <w:p w14:paraId="00000091">
      <w:pPr>
        <w:pStyle w:val="3"/>
      </w:pPr>
      <w:r>
        <w:rPr>
          <w:rtl w:val="0"/>
        </w:rPr>
        <w:t>Assertions</w:t>
      </w:r>
    </w:p>
    <w:p w14:paraId="0000009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VALID/READY stability rules for channels driven by the testbench/DUT.</w:t>
      </w:r>
    </w:p>
    <w:p w14:paraId="0000009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Response VALID must remain asserted until the corresponding READY handshake.</w:t>
      </w:r>
    </w:p>
    <w:p w14:paraId="0000009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response must assert RLAST for the implemented single-read response.</w:t>
      </w:r>
    </w:p>
    <w:p w14:paraId="000000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APB control signals must remain stable while waiting for PREADY.</w:t>
      </w:r>
    </w:p>
    <w:p w14:paraId="0000009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No illegal APB write/read control combination.</w:t>
      </w:r>
    </w:p>
    <w:p w14:paraId="0000009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Reset must return the bridge to the expected idle state.</w:t>
      </w:r>
    </w:p>
    <w:p w14:paraId="0000009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Add assertions for important protocol and design-specific assumptions identified during RTL analysis.</w:t>
      </w:r>
    </w:p>
    <w:p w14:paraId="00000099">
      <w:pPr>
        <w:pStyle w:val="3"/>
      </w:pPr>
      <w:r>
        <w:rPr>
          <w:rtl w:val="0"/>
        </w:rPr>
        <w:t>Functional coverage</w:t>
      </w:r>
    </w:p>
    <w:p w14:paraId="0000009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versus write transactions.</w:t>
      </w:r>
    </w:p>
    <w:p w14:paraId="0000009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address ranges/boundaries.</w:t>
      </w:r>
    </w:p>
    <w:p w14:paraId="0000009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Different data patterns: all-zero, all-one, alternating, walking patterns, random.</w:t>
      </w:r>
    </w:p>
    <w:p w14:paraId="0000009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IDs and USER values.</w:t>
      </w:r>
    </w:p>
    <w:p w14:paraId="0000009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PREADY immediate completion versus multiple wait cycles.</w:t>
      </w:r>
    </w:p>
    <w:p w14:paraId="0000009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BREADY and RREADY backpressure.</w:t>
      </w:r>
    </w:p>
    <w:p w14:paraId="000000A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Read/write priority when both requests are presented.</w:t>
      </w:r>
    </w:p>
    <w:p w14:paraId="000000A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Back-to-back reads and writes.</w:t>
      </w:r>
    </w:p>
    <w:p w14:paraId="000000A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PSLVERR driven high and low, with coverage of the observed response behavior.</w:t>
      </w:r>
    </w:p>
    <w:p w14:paraId="000000A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Cross coverage of transaction type × wait-state behavior × response/backpressure.</w:t>
      </w:r>
    </w:p>
    <w:p w14:paraId="000000A4">
      <w:pPr>
        <w:pStyle w:val="2"/>
      </w:pPr>
      <w:r>
        <w:rPr>
          <w:rtl w:val="0"/>
        </w:rPr>
        <w:t>14. Milestone 8 — Directed Testing</w:t>
      </w:r>
    </w:p>
    <w:p w14:paraId="000000A5">
      <w:r>
        <w:rPr>
          <w:rtl w:val="0"/>
        </w:rPr>
        <w:t>Develop directed tests before random testing. Minimum required tests:</w:t>
      </w:r>
    </w:p>
    <w:p w14:paraId="000000A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Reset/smoke test.</w:t>
      </w:r>
    </w:p>
    <w:p w14:paraId="000000A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Single AXI write with APB ready immediately.</w:t>
      </w:r>
    </w:p>
    <w:p w14:paraId="000000A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Single AXI read with APB ready immediately.</w:t>
      </w:r>
    </w:p>
    <w:p w14:paraId="000000A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write with APB wait states.</w:t>
      </w:r>
    </w:p>
    <w:p w14:paraId="000000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read with APB wait states.</w:t>
      </w:r>
    </w:p>
    <w:p w14:paraId="000000A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with RREADY delayed.</w:t>
      </w:r>
    </w:p>
    <w:p w14:paraId="000000A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Write with BREADY delayed.</w:t>
      </w:r>
    </w:p>
    <w:p w14:paraId="000000A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 and write presented at the same time to verify RTL priority.</w:t>
      </w:r>
    </w:p>
    <w:p w14:paraId="000000A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Back-to-back reads.</w:t>
      </w:r>
    </w:p>
    <w:p w14:paraId="000000A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Back-to-back writes.</w:t>
      </w:r>
    </w:p>
    <w:p w14:paraId="000000B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Mixed read/write traffic.</w:t>
      </w:r>
    </w:p>
    <w:p w14:paraId="000000B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Different IDs and USER values.</w:t>
      </w:r>
    </w:p>
    <w:p w14:paraId="000000B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PSLVERR stimulus test to document the actual DUT behavior.</w:t>
      </w:r>
    </w:p>
    <w:p w14:paraId="000000B3">
      <w:pPr>
        <w:pStyle w:val="2"/>
      </w:pPr>
      <w:r>
        <w:rPr>
          <w:rtl w:val="0"/>
        </w:rPr>
        <w:t>15. Milestone 9 — Constrained-Random Verification</w:t>
      </w:r>
    </w:p>
    <w:p w14:paraId="000000B4">
      <w:pPr>
        <w:jc w:val="both"/>
      </w:pPr>
      <w:r>
        <w:rPr>
          <w:rtl w:val="0"/>
        </w:rPr>
        <w:t>After directed tests are stable, develop constrained-random sequences. Randomize legal AXI transaction fields and APB response timing while maintaining protocol legality.</w:t>
      </w:r>
    </w:p>
    <w:p w14:paraId="000000B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Randomize addresses, data, IDs, USER fields, and legal control fields.</w:t>
      </w:r>
    </w:p>
    <w:p w14:paraId="000000B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Randomize APB PREADY latency.</w:t>
      </w:r>
    </w:p>
    <w:p w14:paraId="000000B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Randomize AXI BREADY and RREADY backpressure.</w:t>
      </w:r>
    </w:p>
    <w:p w14:paraId="000000B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Generate mixed read/write traffic.</w:t>
      </w:r>
    </w:p>
    <w:p w14:paraId="000000B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Run sufficiently long regressions to exercise the buffer and handshake behavior.</w:t>
      </w:r>
    </w:p>
    <w:p w14:paraId="000000B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Use a reproducible random seed for every failure.</w:t>
      </w:r>
    </w:p>
    <w:p w14:paraId="000000B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Classify failures as DUT, testbench, checker, or test-sequence issues.</w:t>
      </w:r>
    </w:p>
    <w:p w14:paraId="000000BC">
      <w:pPr>
        <w:pStyle w:val="2"/>
      </w:pPr>
      <w:r>
        <w:rPr>
          <w:rtl w:val="0"/>
        </w:rPr>
        <w:t>16. Milestone 10 — Regression, Coverage Closure, and Final Sign-Off</w:t>
      </w:r>
    </w:p>
    <w:p w14:paraId="000000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Create a regression list containing all directed and random tests.</w:t>
      </w:r>
    </w:p>
    <w:p w14:paraId="000000B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Run regression with multiple random seeds.</w:t>
      </w:r>
    </w:p>
    <w:p w14:paraId="000000B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Collect code coverage, functional coverage, and assertion results.</w:t>
      </w:r>
    </w:p>
    <w:p w14:paraId="000000C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Analyze uncovered RTL and functional coverage bins.</w:t>
      </w:r>
    </w:p>
    <w:p w14:paraId="000000C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Add tests where coverage holes represent meaningful unverified behavior.</w:t>
      </w:r>
    </w:p>
    <w:p w14:paraId="000000C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Do not chase meaningless coverage; justify exclusions and unreachable cases.</w:t>
      </w:r>
    </w:p>
    <w:p w14:paraId="000000C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Produce a final verification report with pass/fail summary, coverage, assertions, known limitations, and open issues.</w:t>
      </w:r>
    </w:p>
    <w:p w14:paraId="000000C4">
      <w:pPr>
        <w:pStyle w:val="2"/>
      </w:pPr>
      <w:r>
        <w:rPr>
          <w:rtl w:val="0"/>
        </w:rPr>
        <w:t>17. GitHub Progress and Daily Update Requirements</w:t>
      </w:r>
    </w:p>
    <w:p w14:paraId="000000C5">
      <w:pPr>
        <w:jc w:val="both"/>
      </w:pPr>
      <w:r>
        <w:rPr>
          <w:rtl w:val="0"/>
        </w:rPr>
        <w:t>GitHub activity is part of the project evaluation. Every trainee must maintain a visible history of technical progress.</w:t>
      </w:r>
    </w:p>
    <w:p w14:paraId="000000C6">
      <w:pPr>
        <w:pStyle w:val="3"/>
      </w:pPr>
      <w:r>
        <w:rPr>
          <w:rtl w:val="0"/>
        </w:rPr>
        <w:t>Daily requirements</w:t>
      </w:r>
    </w:p>
    <w:p w14:paraId="000000C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Push meaningful progress at the end of each working day.</w:t>
      </w:r>
    </w:p>
    <w:p w14:paraId="000000C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Use informative commit messages, for example: 'Add AXI write sequence', 'Implement APB wait-state driver', or 'Fix scoreboard read matching'.</w:t>
      </w:r>
    </w:p>
    <w:p w14:paraId="000000C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Do not make one large final commit containing the whole project.</w:t>
      </w:r>
    </w:p>
    <w:p w14:paraId="000000C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Update README.md or a docs/progress.md file daily.</w:t>
      </w:r>
    </w:p>
    <w:p w14:paraId="000000C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Record what was completed, what is currently being debugged, test results, and the next action.</w:t>
      </w:r>
    </w:p>
    <w:p w14:paraId="000000C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Include simulator/lint/coverage evidence where useful.</w:t>
      </w:r>
    </w:p>
    <w:p w14:paraId="000000C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Do not commit generated simulator databases or unnecessarily large build artifacts.</w:t>
      </w:r>
    </w:p>
    <w:p w14:paraId="000000CE">
      <w:pPr>
        <w:pStyle w:val="3"/>
      </w:pPr>
      <w:r>
        <w:rPr>
          <w:rFonts w:hint="default"/>
          <w:rtl w:val="0"/>
          <w:lang w:val="en-US"/>
        </w:rPr>
        <w:t>D</w:t>
      </w:r>
      <w:r>
        <w:rPr>
          <w:rtl w:val="0"/>
        </w:rPr>
        <w:t>aily update format</w:t>
      </w:r>
    </w:p>
    <w:p w14:paraId="000000C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Date:</w:t>
      </w:r>
    </w:p>
    <w:p w14:paraId="000000D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Work completed:</w:t>
      </w:r>
    </w:p>
    <w:p w14:paraId="000000D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Tests executed:</w:t>
      </w:r>
    </w:p>
    <w:p w14:paraId="000000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Pass/fail result:</w:t>
      </w: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Coverage/lint status:</w:t>
      </w:r>
    </w:p>
    <w:p w14:paraId="000000D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Issues encountered:</w:t>
      </w:r>
    </w:p>
    <w:p w14:paraId="000000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Next step:</w:t>
      </w:r>
    </w:p>
    <w:p w14:paraId="000000D6">
      <w:pPr>
        <w:pStyle w:val="2"/>
      </w:pPr>
      <w:r>
        <w:rPr>
          <w:rtl w:val="0"/>
        </w:rPr>
        <w:t xml:space="preserve">18. </w:t>
      </w:r>
      <w:bookmarkStart w:id="0" w:name="_GoBack"/>
      <w:bookmarkEnd w:id="0"/>
      <w:r>
        <w:rPr>
          <w:rtl w:val="0"/>
        </w:rPr>
        <w:t>GitHub Repository Structure</w:t>
      </w:r>
    </w:p>
    <w:p w14:paraId="000000D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rtl/                 # DUT and required dependent RTL</w:t>
      </w:r>
    </w:p>
    <w:p w14:paraId="000000D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tb/                   # top-level testbench and interfaces</w:t>
      </w:r>
    </w:p>
    <w:p w14:paraId="000000D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uvm/                  # agents, env, config, scoreboard, coverage</w:t>
      </w:r>
    </w:p>
    <w:p w14:paraId="000000D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sequences/            # AXI/APB/virtual sequences</w:t>
      </w:r>
    </w:p>
    <w:p w14:paraId="000000D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tests/                # UVM tests</w:t>
      </w:r>
    </w:p>
    <w:p w14:paraId="000000D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assertions/           # SVA/checkers</w:t>
      </w:r>
    </w:p>
    <w:p w14:paraId="000000D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scripts/               # compile, lint, simulation, regression scripts</w:t>
      </w:r>
    </w:p>
    <w:p w14:paraId="000000D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docs/                  # specification, verification plan, progress log, final report</w:t>
      </w:r>
    </w:p>
    <w:p w14:paraId="000000D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logs/                  # selected human-readable logs only</w:t>
      </w:r>
    </w:p>
    <w:p w14:paraId="000000E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results/               # selected reports/results</w:t>
      </w:r>
    </w:p>
    <w:p w14:paraId="000000E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README.md</w:t>
      </w:r>
    </w:p>
    <w:p w14:paraId="000000E2">
      <w:pPr>
        <w:pStyle w:val="2"/>
      </w:pPr>
      <w:r>
        <w:rPr>
          <w:rtl w:val="0"/>
        </w:rPr>
        <w:t>19. Minimum Final Deliverables</w:t>
      </w:r>
    </w:p>
    <w:p w14:paraId="000000E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GitHub repository with complete source and meaningful commit history.</w:t>
      </w:r>
    </w:p>
    <w:p w14:paraId="000000E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Successful DUT compile/elaboration flow.</w:t>
      </w:r>
    </w:p>
    <w:p w14:paraId="000000E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RTL lint report.</w:t>
      </w:r>
    </w:p>
    <w:p w14:paraId="000000E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Verification plan.</w:t>
      </w:r>
    </w:p>
    <w:p w14:paraId="000000E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Dual-agent UVM environment.</w:t>
      </w:r>
    </w:p>
    <w:p w14:paraId="000000E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AXI master agent.</w:t>
      </w:r>
    </w:p>
    <w:p w14:paraId="000000E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APB slave agent.</w:t>
      </w:r>
    </w:p>
    <w:p w14:paraId="000000E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Directed test suite.</w:t>
      </w:r>
    </w:p>
    <w:p w14:paraId="000000E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Constrained-random test suite.</w:t>
      </w:r>
    </w:p>
    <w:p w14:paraId="000000E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Scoreboard/reference model.</w:t>
      </w:r>
    </w:p>
    <w:p w14:paraId="000000E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Assertions.</w:t>
      </w:r>
    </w:p>
    <w:p w14:paraId="000000E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Functional coverage.</w:t>
      </w:r>
    </w:p>
    <w:p w14:paraId="000000E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Regression results.</w:t>
      </w:r>
    </w:p>
    <w:p w14:paraId="000000F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Coverage report and closure analysis.</w:t>
      </w:r>
    </w:p>
    <w:p w14:paraId="000000F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Final verification report.</w:t>
      </w:r>
    </w:p>
    <w:p w14:paraId="000000F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both"/>
      </w:pPr>
      <w:r>
        <w:rPr>
          <w:rFonts w:ascii="Arial" w:hAnsi="Arial" w:eastAsia="Arial" w:cs="Arial"/>
          <w:b w:val="0"/>
          <w:bCs w:val="0"/>
          <w:i w:val="0"/>
          <w:iCs w:val="0"/>
          <w:smallCaps w:val="0"/>
          <w:strike w:val="0"/>
          <w:color w:val="000000"/>
          <w:sz w:val="20"/>
          <w:szCs w:val="20"/>
          <w:u w:val="none"/>
          <w:shd w:val="clear" w:fill="auto"/>
          <w:vertAlign w:val="baseline"/>
          <w:rtl w:val="0"/>
        </w:rPr>
        <w:t>Short final presentation/demo showing architecture, key tests, failures/debugging, and coverage.</w:t>
      </w:r>
    </w:p>
    <w:p w14:paraId="000000F3">
      <w:pPr>
        <w:pStyle w:val="2"/>
      </w:pPr>
      <w:r>
        <w:rPr>
          <w:rtl w:val="0"/>
        </w:rPr>
        <w:t>20. Evaluation Criteria</w:t>
      </w:r>
    </w:p>
    <w:tbl>
      <w:tblPr>
        <w:tblStyle w:val="14"/>
        <w:tblW w:w="993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2"/>
        <w:gridCol w:w="3312"/>
        <w:gridCol w:w="3312"/>
      </w:tblGrid>
      <w:tr w14:paraId="54602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4">
            <w:pPr>
              <w:spacing w:after="0" w:line="240" w:lineRule="auto"/>
            </w:pPr>
            <w:r>
              <w:rPr>
                <w:rtl w:val="0"/>
              </w:rPr>
              <w:t>Area</w:t>
            </w:r>
          </w:p>
        </w:tc>
        <w:tc>
          <w:p w14:paraId="000000F5">
            <w:pPr>
              <w:spacing w:after="0" w:line="240" w:lineRule="auto"/>
            </w:pPr>
            <w:r>
              <w:rPr>
                <w:rtl w:val="0"/>
              </w:rPr>
              <w:t>Weight</w:t>
            </w:r>
          </w:p>
        </w:tc>
        <w:tc>
          <w:p w14:paraId="000000F6">
            <w:pPr>
              <w:spacing w:after="0" w:line="240" w:lineRule="auto"/>
            </w:pPr>
            <w:r>
              <w:rPr>
                <w:rtl w:val="0"/>
              </w:rPr>
              <w:t>Evaluation Focus</w:t>
            </w:r>
          </w:p>
        </w:tc>
      </w:tr>
      <w:tr w14:paraId="1A70C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7">
            <w:pPr>
              <w:spacing w:after="0" w:line="240" w:lineRule="auto"/>
            </w:pPr>
            <w:r>
              <w:rPr>
                <w:rtl w:val="0"/>
              </w:rPr>
              <w:t>DUT compile</w:t>
            </w:r>
          </w:p>
        </w:tc>
        <w:tc>
          <w:p w14:paraId="000000F8">
            <w:pPr>
              <w:spacing w:after="0" w:line="240" w:lineRule="auto"/>
            </w:pPr>
            <w:r>
              <w:rPr>
                <w:rtl w:val="0"/>
              </w:rPr>
              <w:t>10%</w:t>
            </w:r>
          </w:p>
        </w:tc>
        <w:tc>
          <w:p w14:paraId="000000F9">
            <w:pPr>
              <w:spacing w:after="0" w:line="240" w:lineRule="auto"/>
            </w:pPr>
            <w:r>
              <w:rPr>
                <w:rtl w:val="0"/>
              </w:rPr>
              <w:t>Clean reproducible flow and issue analysis</w:t>
            </w:r>
          </w:p>
        </w:tc>
      </w:tr>
      <w:tr w14:paraId="6DF1D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A">
            <w:pPr>
              <w:spacing w:after="0" w:line="240" w:lineRule="auto"/>
            </w:pPr>
            <w:r>
              <w:rPr>
                <w:rtl w:val="0"/>
              </w:rPr>
              <w:t>Verification plan</w:t>
            </w:r>
          </w:p>
        </w:tc>
        <w:tc>
          <w:p w14:paraId="000000FB">
            <w:pPr>
              <w:spacing w:after="0" w:line="240" w:lineRule="auto"/>
            </w:pPr>
            <w:r>
              <w:rPr>
                <w:rtl w:val="0"/>
              </w:rPr>
              <w:t>10%</w:t>
            </w:r>
          </w:p>
        </w:tc>
        <w:tc>
          <w:p w14:paraId="000000FC">
            <w:pPr>
              <w:spacing w:after="0" w:line="240" w:lineRule="auto"/>
            </w:pPr>
            <w:r>
              <w:rPr>
                <w:rtl w:val="0"/>
              </w:rPr>
              <w:t>Completeness and traceability to RTL</w:t>
            </w:r>
          </w:p>
        </w:tc>
      </w:tr>
      <w:tr w14:paraId="0E7CF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D">
            <w:pPr>
              <w:spacing w:after="0" w:line="240" w:lineRule="auto"/>
            </w:pPr>
            <w:r>
              <w:rPr>
                <w:rtl w:val="0"/>
              </w:rPr>
              <w:t>AXI agent</w:t>
            </w:r>
          </w:p>
        </w:tc>
        <w:tc>
          <w:p w14:paraId="000000FE">
            <w:pPr>
              <w:spacing w:after="0" w:line="240" w:lineRule="auto"/>
            </w:pPr>
            <w:r>
              <w:rPr>
                <w:rtl w:val="0"/>
              </w:rPr>
              <w:t>15%</w:t>
            </w:r>
          </w:p>
        </w:tc>
        <w:tc>
          <w:p w14:paraId="000000FF">
            <w:pPr>
              <w:spacing w:after="0" w:line="240" w:lineRule="auto"/>
            </w:pPr>
            <w:r>
              <w:rPr>
                <w:rtl w:val="0"/>
              </w:rPr>
              <w:t>Correct master stimulus/monitoring</w:t>
            </w:r>
          </w:p>
        </w:tc>
      </w:tr>
      <w:tr w14:paraId="0DBEF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0">
            <w:pPr>
              <w:spacing w:after="0" w:line="240" w:lineRule="auto"/>
            </w:pPr>
            <w:r>
              <w:rPr>
                <w:rtl w:val="0"/>
              </w:rPr>
              <w:t>APB agent</w:t>
            </w:r>
          </w:p>
        </w:tc>
        <w:tc>
          <w:p w14:paraId="00000101">
            <w:pPr>
              <w:spacing w:after="0" w:line="240" w:lineRule="auto"/>
            </w:pPr>
            <w:r>
              <w:rPr>
                <w:rtl w:val="0"/>
              </w:rPr>
              <w:t>15%</w:t>
            </w:r>
          </w:p>
        </w:tc>
        <w:tc>
          <w:p w14:paraId="00000102">
            <w:pPr>
              <w:spacing w:after="0" w:line="240" w:lineRule="auto"/>
            </w:pPr>
            <w:r>
              <w:rPr>
                <w:rtl w:val="0"/>
              </w:rPr>
              <w:t>Correct slave response/monitoring</w:t>
            </w:r>
          </w:p>
        </w:tc>
      </w:tr>
      <w:tr w14:paraId="04C05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3">
            <w:pPr>
              <w:spacing w:after="0" w:line="240" w:lineRule="auto"/>
            </w:pPr>
            <w:r>
              <w:rPr>
                <w:rtl w:val="0"/>
              </w:rPr>
              <w:t>Scoreboard/reference model</w:t>
            </w:r>
          </w:p>
        </w:tc>
        <w:tc>
          <w:p w14:paraId="00000104">
            <w:pPr>
              <w:spacing w:after="0" w:line="240" w:lineRule="auto"/>
            </w:pPr>
            <w:r>
              <w:rPr>
                <w:rtl w:val="0"/>
              </w:rPr>
              <w:t>15%</w:t>
            </w:r>
          </w:p>
        </w:tc>
        <w:tc>
          <w:p w14:paraId="00000105">
            <w:pPr>
              <w:spacing w:after="0" w:line="240" w:lineRule="auto"/>
            </w:pPr>
            <w:r>
              <w:rPr>
                <w:rtl w:val="0"/>
              </w:rPr>
              <w:t>Functional correctness checking</w:t>
            </w:r>
          </w:p>
        </w:tc>
      </w:tr>
      <w:tr w14:paraId="03A20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6">
            <w:pPr>
              <w:spacing w:after="0" w:line="240" w:lineRule="auto"/>
            </w:pPr>
            <w:r>
              <w:rPr>
                <w:rtl w:val="0"/>
              </w:rPr>
              <w:t>Assertions + coverage</w:t>
            </w:r>
          </w:p>
        </w:tc>
        <w:tc>
          <w:p w14:paraId="00000107">
            <w:pPr>
              <w:spacing w:after="0" w:line="240" w:lineRule="auto"/>
            </w:pPr>
            <w:r>
              <w:rPr>
                <w:rtl w:val="0"/>
              </w:rPr>
              <w:t>10%</w:t>
            </w:r>
          </w:p>
        </w:tc>
        <w:tc>
          <w:p w14:paraId="00000108">
            <w:pPr>
              <w:spacing w:after="0" w:line="240" w:lineRule="auto"/>
            </w:pPr>
            <w:r>
              <w:rPr>
                <w:rtl w:val="0"/>
              </w:rPr>
              <w:t>Protocol/design checks and meaningful coverage</w:t>
            </w:r>
          </w:p>
        </w:tc>
      </w:tr>
      <w:tr w14:paraId="0FF51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9">
            <w:pPr>
              <w:spacing w:after="0" w:line="240" w:lineRule="auto"/>
            </w:pPr>
            <w:r>
              <w:rPr>
                <w:rtl w:val="0"/>
              </w:rPr>
              <w:t>Directed + random tests</w:t>
            </w:r>
          </w:p>
        </w:tc>
        <w:tc>
          <w:p w14:paraId="0000010A">
            <w:pPr>
              <w:spacing w:after="0" w:line="240" w:lineRule="auto"/>
            </w:pPr>
            <w:r>
              <w:rPr>
                <w:rtl w:val="0"/>
              </w:rPr>
              <w:t>10%</w:t>
            </w:r>
          </w:p>
        </w:tc>
        <w:tc>
          <w:p w14:paraId="0000010B">
            <w:pPr>
              <w:spacing w:after="0" w:line="240" w:lineRule="auto"/>
            </w:pPr>
            <w:r>
              <w:rPr>
                <w:rtl w:val="0"/>
              </w:rPr>
              <w:t>Corner cases and regression quality</w:t>
            </w:r>
          </w:p>
        </w:tc>
      </w:tr>
      <w:tr w14:paraId="20B9C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C">
            <w:pPr>
              <w:spacing w:after="0" w:line="240" w:lineRule="auto"/>
            </w:pPr>
            <w:r>
              <w:rPr>
                <w:rtl w:val="0"/>
              </w:rPr>
              <w:t>GitHub discipline</w:t>
            </w:r>
          </w:p>
        </w:tc>
        <w:tc>
          <w:p w14:paraId="0000010D">
            <w:pPr>
              <w:spacing w:after="0" w:line="240" w:lineRule="auto"/>
            </w:pPr>
            <w:r>
              <w:rPr>
                <w:rtl w:val="0"/>
              </w:rPr>
              <w:t>5%</w:t>
            </w:r>
          </w:p>
        </w:tc>
        <w:tc>
          <w:p w14:paraId="0000010E">
            <w:pPr>
              <w:spacing w:after="0" w:line="240" w:lineRule="auto"/>
            </w:pPr>
            <w:r>
              <w:rPr>
                <w:rtl w:val="0"/>
              </w:rPr>
              <w:t>Daily progress, commits, documentation</w:t>
            </w:r>
          </w:p>
        </w:tc>
      </w:tr>
      <w:tr w14:paraId="4722C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0F">
            <w:pPr>
              <w:spacing w:after="0" w:line="240" w:lineRule="auto"/>
            </w:pPr>
            <w:r>
              <w:rPr>
                <w:rtl w:val="0"/>
              </w:rPr>
              <w:t>Final report/demo</w:t>
            </w:r>
          </w:p>
        </w:tc>
        <w:tc>
          <w:p w14:paraId="00000110">
            <w:pPr>
              <w:spacing w:after="0" w:line="240" w:lineRule="auto"/>
            </w:pPr>
            <w:r>
              <w:rPr>
                <w:rtl w:val="0"/>
              </w:rPr>
              <w:t>10%</w:t>
            </w:r>
          </w:p>
        </w:tc>
        <w:tc>
          <w:p w14:paraId="00000111">
            <w:pPr>
              <w:spacing w:after="0" w:line="240" w:lineRule="auto"/>
            </w:pPr>
            <w:r>
              <w:rPr>
                <w:rtl w:val="0"/>
              </w:rPr>
              <w:t>Results, debug methodology, coverage closure</w:t>
            </w:r>
          </w:p>
        </w:tc>
      </w:tr>
    </w:tbl>
    <w:p w14:paraId="0000011E">
      <w:pPr>
        <w:pStyle w:val="2"/>
      </w:pPr>
      <w:r>
        <w:rPr>
          <w:rtl w:val="0"/>
        </w:rPr>
        <w:t>2</w:t>
      </w:r>
      <w:r>
        <w:rPr>
          <w:rFonts w:hint="default"/>
          <w:rtl w:val="0"/>
          <w:lang w:val="en-US"/>
        </w:rPr>
        <w:t>1</w:t>
      </w:r>
      <w:r>
        <w:rPr>
          <w:rtl w:val="0"/>
        </w:rPr>
        <w:t>. Reference</w:t>
      </w:r>
    </w:p>
    <w:p w14:paraId="0000011F">
      <w:pPr>
        <w:jc w:val="both"/>
      </w:pPr>
      <w:r>
        <w:rPr>
          <w:rtl w:val="0"/>
        </w:rPr>
        <w:t>General AMBA protocol reference: Arm AMBA Specifications — official information on AXI, APB, and related AMBA protocols.</w:t>
      </w:r>
    </w:p>
    <w:p w14:paraId="00000120">
      <w:pPr>
        <w:jc w:val="both"/>
      </w:pPr>
      <w:r>
        <w:rPr>
          <w:rtl w:val="0"/>
        </w:rPr>
        <w:t>https://www.arm.com/architecture/system-architectures/amba/amba-specifications</w:t>
      </w:r>
    </w:p>
    <w:sectPr>
      <w:pgSz w:w="12240" w:h="15840"/>
      <w:pgMar w:top="1008" w:right="1152" w:bottom="1008" w:left="1152"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E64CE40-91FF-47EF-A6F4-FCBA9AD68C7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B1361A9-8BF2-43CA-9444-AE6331D96D49}"/>
  </w:font>
  <w:font w:name="Wingdings">
    <w:panose1 w:val="05000000000000000000"/>
    <w:charset w:val="02"/>
    <w:family w:val="auto"/>
    <w:pitch w:val="default"/>
    <w:sig w:usb0="00000000" w:usb1="00000000" w:usb2="00000000" w:usb3="00000000" w:csb0="80000000" w:csb1="00000000"/>
    <w:embedRegular r:id="rId3" w:fontKey="{2D1EA3A2-AABC-4586-8911-9CE20A5F6B62}"/>
  </w:font>
  <w:font w:name="Calibri">
    <w:panose1 w:val="020F0502020204030204"/>
    <w:charset w:val="00"/>
    <w:family w:val="swiss"/>
    <w:pitch w:val="default"/>
    <w:sig w:usb0="E4002EFF" w:usb1="C000247B" w:usb2="00000009" w:usb3="00000000" w:csb0="200001FF" w:csb1="00000000"/>
    <w:embedRegular r:id="rId4" w:fontKey="{9AD8E516-0384-45CA-9072-C632F3DFA8AC}"/>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2A7E2645-FD25-4529-A981-C0B155F034B4}"/>
  </w:font>
  <w:font w:name="Arial">
    <w:panose1 w:val="020B0604020202020204"/>
    <w:charset w:val="00"/>
    <w:family w:val="auto"/>
    <w:pitch w:val="default"/>
    <w:sig w:usb0="E0002EFF" w:usb1="C000785B" w:usb2="00000009" w:usb3="00000000" w:csb0="400001FF" w:csb1="FFFF0000"/>
    <w:embedRegular r:id="rId6" w:fontKey="{2ABB104B-45BB-49D1-89FD-AF994D5B448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751DF4"/>
    <w:rsid w:val="1F5A11FF"/>
    <w:rsid w:val="55164D64"/>
    <w:rsid w:val="5A7E3E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Arial" w:hAnsi="Arial" w:eastAsia="Arial" w:cs="Arial"/>
      <w:b/>
      <w:bCs/>
      <w:color w:val="366091"/>
      <w:sz w:val="30"/>
      <w:szCs w:val="30"/>
    </w:rPr>
  </w:style>
  <w:style w:type="paragraph" w:styleId="3">
    <w:name w:val="heading 2"/>
    <w:basedOn w:val="1"/>
    <w:next w:val="1"/>
    <w:qFormat/>
    <w:uiPriority w:val="0"/>
    <w:pPr>
      <w:keepNext/>
      <w:keepLines/>
      <w:spacing w:before="200" w:after="0"/>
    </w:pPr>
    <w:rPr>
      <w:rFonts w:ascii="Arial" w:hAnsi="Arial" w:eastAsia="Arial" w:cs="Arial"/>
      <w:b/>
      <w:bCs/>
      <w:color w:val="4F81BD"/>
      <w:sz w:val="24"/>
      <w:szCs w:val="24"/>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Arial" w:hAnsi="Arial" w:eastAsia="Arial" w:cs="Arial"/>
      <w:color w:val="17365D"/>
      <w:sz w:val="40"/>
      <w:szCs w:val="40"/>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2327</Words>
  <Characters>14373</Characters>
  <TotalTime>4</TotalTime>
  <ScaleCrop>false</ScaleCrop>
  <LinksUpToDate>false</LinksUpToDate>
  <CharactersWithSpaces>16561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2026-10-05T03:46:42Z</dcterms:created>
  <dc:creator>yasir.farooq</dc:creator>
  <cp:lastModifiedBy>yasir.farooq</cp:lastModifiedBy>
  <dcterms:modified xsi:type="dcterms:W3CDTF">2026-10-05T03:51:35Z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eyJoZGlkIjoiN2NlZTFlNDVjMDcwYTQ3ZmM2NDA3ZmI1NzU3MDhhNTIifQ==</vt:lpwstr>
  </property>
  <property fmtid="{D5CDD505-2E9C-101B-9397-08002B2CF9AE}" pid="3" name="KSOProductBuildVer">
    <vt:lpwstr>1033-12.1.0.28485</vt:lpwstr>
  </property>
  <property fmtid="{D5CDD505-2E9C-101B-9397-08002B2CF9AE}" pid="4" name="ICV">
    <vt:lpwstr>2F089566141E4FA88375B6B84E519D89_12</vt:lpwstr>
  </property>
</Properties>
</file>