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Wordsearch 2: Black Britain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Find the hidden words from this section's workshops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QUIZZES AND CHALLENGES  ·  SECTION 2  ·  AGES 11–16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907"/>
        <w:gridCol w:w="3061"/>
      </w:tblGrid>
      <w:tr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Name:</w:t>
            </w:r>
          </w:p>
        </w:tc>
        <w:tc>
          <w:tcPr>
            <w:tcW w:type="dxa" w:w="4139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Date: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</w:tr>
    </w:tbl>
    <w:p>
      <w:pPr>
        <w:keepNext/>
        <w:spacing w:before="0" w:after="40"/>
      </w:pPr>
      <w:r>
        <w:rPr>
          <w:rFonts w:ascii="Aptos" w:hAnsi="Aptos"/>
          <w:b w:val="0"/>
          <w:i w:val="0"/>
          <w:color w:val="1A1A1A"/>
          <w:sz w:val="20"/>
        </w:rPr>
        <w:t>Find all the words in the grid. Words go across, down or diagonally. Tick each word when you find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Words to find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BOYCOTT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GRIME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STEELE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BRISTOL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LONDON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TILBURY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CARIBBEAN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MATRON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TULL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CRIMEA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NURSE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WINDRUSH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FOOTBALL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SEACOLE</w:t>
            </w:r>
          </w:p>
        </w:tc>
        <w:tc>
          <w:tcPr>
            <w:tcW w:type="dxa" w:w="3079"/>
          </w:tcPr>
          <w:p/>
        </w:tc>
      </w:tr>
    </w:tbl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