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40"/>
      </w:pPr>
      <w:r>
        <w:rPr>
          <w:rFonts w:ascii="Aptos Display" w:hAnsi="Aptos Display"/>
          <w:b/>
          <w:i w:val="0"/>
          <w:color w:val="CE1126"/>
          <w:sz w:val="23"/>
        </w:rPr>
        <w:t>BLACK HISTORY MONTH 2026</w:t>
      </w:r>
    </w:p>
    <w:p>
      <w:pPr>
        <w:spacing w:before="0" w:after="40"/>
      </w:pPr>
      <w:r>
        <w:rPr>
          <w:rFonts w:ascii="Aptos Display" w:hAnsi="Aptos Display"/>
          <w:b/>
          <w:i w:val="0"/>
          <w:color w:val="1A1A1A"/>
          <w:sz w:val="44"/>
        </w:rPr>
        <w:t>The Windrush Generation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007A3D"/>
          <w:sz w:val="25"/>
        </w:rPr>
        <w:t>Who came, why they came, what they built, and the scandal that followed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0"/>
        <w:gridCol w:w="3080"/>
        <w:gridCol w:w="3080"/>
      </w:tblGrid>
      <w:tr>
        <w:trPr>
          <w:trHeight w:val="124" w:hRule="exact"/>
        </w:trPr>
        <w:tc>
          <w:tcPr>
            <w:tcW w:type="dxa" w:w="3080"/>
            <w:tcBorders>
              <w:top w:val="nil"/>
              <w:left w:val="nil"/>
              <w:bottom w:val="nil"/>
              <w:right w:val="nil"/>
            </w:tcBorders>
            <w:shd w:val="clear" w:color="auto" w:fill="CE1126"/>
          </w:tcPr>
          <w:p>
            <w:pPr>
              <w:spacing w:after="0"/>
            </w:pPr>
            <w:r>
              <w:rPr>
                <w:sz w:val="2"/>
              </w:rPr>
            </w:r>
          </w:p>
        </w:tc>
        <w:tc>
          <w:tcPr>
            <w:tcW w:type="dxa" w:w="3080"/>
            <w:tcBorders>
              <w:top w:val="nil"/>
              <w:left w:val="nil"/>
              <w:bottom w:val="nil"/>
              <w:right w:val="nil"/>
            </w:tcBorders>
            <w:shd w:val="clear" w:color="auto" w:fill="E8A800"/>
          </w:tcPr>
          <w:p>
            <w:pPr>
              <w:spacing w:after="0"/>
            </w:pPr>
            <w:r>
              <w:rPr>
                <w:sz w:val="2"/>
              </w:rPr>
            </w:r>
          </w:p>
        </w:tc>
        <w:tc>
          <w:tcPr>
            <w:tcW w:type="dxa" w:w="3080"/>
            <w:tcBorders>
              <w:top w:val="nil"/>
              <w:left w:val="nil"/>
              <w:bottom w:val="nil"/>
              <w:right w:val="nil"/>
            </w:tcBorders>
            <w:shd w:val="clear" w:color="auto" w:fill="007A3D"/>
          </w:tcPr>
          <w:p>
            <w:pPr>
              <w:spacing w:after="0"/>
            </w:pPr>
            <w:r>
              <w:rPr>
                <w:sz w:val="2"/>
              </w:rPr>
            </w:r>
          </w:p>
        </w:tc>
      </w:tr>
    </w:tbl>
    <w:p>
      <w:pPr>
        <w:spacing w:before="100" w:after="160"/>
      </w:pPr>
      <w:r>
        <w:rPr>
          <w:rFonts w:ascii="Aptos" w:hAnsi="Aptos"/>
          <w:b/>
          <w:i w:val="0"/>
          <w:color w:val="5E5E5E"/>
          <w:sz w:val="20"/>
        </w:rPr>
        <w:t>FACILITATOR GUIDE  ·  AGES 11–16  ·  45–60 MINUTES</w:t>
      </w:r>
    </w:p>
    <w:p>
      <w:pPr>
        <w:keepNext/>
        <w:pBdr>
          <w:top w:val="single" w:sz="4" w:space="4" w:color="CE1126"/>
          <w:left w:val="single" w:sz="4" w:space="6" w:color="CE1126"/>
          <w:bottom w:val="single" w:sz="4" w:space="4" w:color="CE1126"/>
          <w:right w:val="single" w:sz="4" w:space="6" w:color="CE1126"/>
        </w:pBdr>
        <w:shd w:val="clear" w:color="auto" w:fill="CE1126"/>
        <w:spacing w:before="200" w:after="120"/>
        <w:ind w:left="68" w:right="68"/>
      </w:pPr>
      <w:r>
        <w:rPr>
          <w:rFonts w:ascii="Aptos Display" w:hAnsi="Aptos Display"/>
          <w:b/>
          <w:i w:val="0"/>
          <w:color w:val="FFFFFF"/>
          <w:sz w:val="27"/>
        </w:rPr>
        <w:t>1.  Session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7087"/>
      </w:tblGrid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DDF0E4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007A3D"/>
                <w:sz w:val="21"/>
              </w:rPr>
              <w:t>Duration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45–60 minutes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DDF0E4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007A3D"/>
                <w:sz w:val="21"/>
              </w:rPr>
              <w:t>Age group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11–16 (adapt language and pace as needed)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DDF0E4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007A3D"/>
                <w:sz w:val="21"/>
              </w:rPr>
              <w:t>You will need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Student worksheet (one each), pens, board. A map, photos or short clips help (see Delivery Notes).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DDF0E4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007A3D"/>
                <w:sz w:val="21"/>
              </w:rPr>
              <w:t>Activity types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Put it in order, true or false, writing task, group discussion, opinion scale, confidence check.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DDF0E4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7A3D"/>
                <w:sz w:val="21"/>
              </w:rPr>
              <w:t>Grouping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Whole class, pairs and small groups</w:t>
            </w: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pBdr>
          <w:top w:val="single" w:sz="4" w:space="4" w:color="E8A800"/>
          <w:left w:val="single" w:sz="4" w:space="6" w:color="E8A800"/>
          <w:bottom w:val="single" w:sz="4" w:space="4" w:color="E8A800"/>
          <w:right w:val="single" w:sz="4" w:space="6" w:color="E8A800"/>
        </w:pBdr>
        <w:shd w:val="clear" w:color="auto" w:fill="E8A800"/>
        <w:spacing w:before="200" w:after="120"/>
        <w:ind w:left="68" w:right="68"/>
      </w:pPr>
      <w:r>
        <w:rPr>
          <w:rFonts w:ascii="Aptos Display" w:hAnsi="Aptos Display"/>
          <w:b/>
          <w:i w:val="0"/>
          <w:color w:val="1A1A1A"/>
          <w:sz w:val="27"/>
        </w:rPr>
        <w:t>2.  Why This Session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A1A1A"/>
          <w:sz w:val="20"/>
        </w:rPr>
        <w:t>On 22 June 1948 the Empire Windrush docked at Tilbury, and it became a symbol of a generation of Caribbean people who helped rebuild Britain after the Second World War. Many students have grandparents or great-grandparents in this story. The session covers their contribution and the Windrush scandal, when some of the same people were wrongly treated as illegal immigrants.</w:t>
      </w:r>
    </w:p>
    <w:p>
      <w:pPr>
        <w:keepNext/>
        <w:pBdr>
          <w:top w:val="single" w:sz="4" w:space="4" w:color="007A3D"/>
          <w:left w:val="single" w:sz="4" w:space="6" w:color="007A3D"/>
          <w:bottom w:val="single" w:sz="4" w:space="4" w:color="007A3D"/>
          <w:right w:val="single" w:sz="4" w:space="6" w:color="007A3D"/>
        </w:pBdr>
        <w:shd w:val="clear" w:color="auto" w:fill="007A3D"/>
        <w:spacing w:before="200" w:after="120"/>
        <w:ind w:left="68" w:right="68"/>
      </w:pPr>
      <w:r>
        <w:rPr>
          <w:rFonts w:ascii="Aptos Display" w:hAnsi="Aptos Display"/>
          <w:b/>
          <w:i w:val="0"/>
          <w:color w:val="FFFFFF"/>
          <w:sz w:val="27"/>
        </w:rPr>
        <w:t>3.  Learning Objectives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CE1126"/>
          <w:sz w:val="16"/>
        </w:rPr>
        <w:t xml:space="preserve">■  </w:t>
      </w:r>
      <w:r>
        <w:rPr>
          <w:rFonts w:ascii="Aptos" w:hAnsi="Aptos"/>
          <w:b w:val="0"/>
          <w:i w:val="0"/>
          <w:color w:val="1A1A1A"/>
          <w:sz w:val="20"/>
        </w:rPr>
        <w:t>Explain who the Windrush generation were and why they came to Britain.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E8A800"/>
          <w:sz w:val="16"/>
        </w:rPr>
        <w:t xml:space="preserve">■  </w:t>
      </w:r>
      <w:r>
        <w:rPr>
          <w:rFonts w:ascii="Aptos" w:hAnsi="Aptos"/>
          <w:b w:val="0"/>
          <w:i w:val="0"/>
          <w:color w:val="1A1A1A"/>
          <w:sz w:val="20"/>
        </w:rPr>
        <w:t>Describe how they contributed to British life, including the NHS and transport.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007A3D"/>
          <w:sz w:val="16"/>
        </w:rPr>
        <w:t xml:space="preserve">■  </w:t>
      </w:r>
      <w:r>
        <w:rPr>
          <w:rFonts w:ascii="Aptos" w:hAnsi="Aptos"/>
          <w:b w:val="0"/>
          <w:i w:val="0"/>
          <w:color w:val="1A1A1A"/>
          <w:sz w:val="20"/>
        </w:rPr>
        <w:t>Explain what the Windrush scandal was and why it was wrong.</w:t>
      </w:r>
    </w:p>
    <w:p>
      <w:pPr>
        <w:keepNext/>
        <w:pBdr>
          <w:top w:val="single" w:sz="4" w:space="4" w:color="CE1126"/>
          <w:left w:val="single" w:sz="4" w:space="6" w:color="CE1126"/>
          <w:bottom w:val="single" w:sz="4" w:space="4" w:color="CE1126"/>
          <w:right w:val="single" w:sz="4" w:space="6" w:color="CE1126"/>
        </w:pBdr>
        <w:shd w:val="clear" w:color="auto" w:fill="CE1126"/>
        <w:spacing w:before="200" w:after="120"/>
        <w:ind w:left="68" w:right="68"/>
      </w:pPr>
      <w:r>
        <w:rPr>
          <w:rFonts w:ascii="Aptos Display" w:hAnsi="Aptos Display"/>
          <w:b/>
          <w:i w:val="0"/>
          <w:color w:val="FFFFFF"/>
          <w:sz w:val="27"/>
        </w:rPr>
        <w:t>4.  Session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814"/>
        <w:gridCol w:w="6520"/>
      </w:tblGrid>
      <w:tr>
        <w:trPr>
          <w:cantSplit/>
          <w:tblHeader/>
        </w:trPr>
        <w:tc>
          <w:tcPr>
            <w:tcW w:type="dxa" w:w="907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>Mins</w:t>
            </w:r>
          </w:p>
        </w:tc>
        <w:tc>
          <w:tcPr>
            <w:tcW w:type="dxa" w:w="1814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>Section</w:t>
            </w:r>
          </w:p>
        </w:tc>
        <w:tc>
          <w:tcPr>
            <w:tcW w:type="dxa" w:w="6520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>What happens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5</w:t>
            </w:r>
          </w:p>
        </w:tc>
        <w:tc>
          <w:tcPr>
            <w:tcW w:type="dxa" w:w="181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6520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Moving to a new country: what would you pack? Share ideas.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12</w:t>
            </w:r>
          </w:p>
        </w:tc>
        <w:tc>
          <w:tcPr>
            <w:tcW w:type="dxa" w:w="181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Learn</w:t>
            </w:r>
          </w:p>
        </w:tc>
        <w:tc>
          <w:tcPr>
            <w:tcW w:type="dxa" w:w="6520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Work through the four sections. Show a photo of the Windrush arriving at Tilbury.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10</w:t>
            </w:r>
          </w:p>
        </w:tc>
        <w:tc>
          <w:tcPr>
            <w:tcW w:type="dxa" w:w="181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Activities</w:t>
            </w:r>
          </w:p>
        </w:tc>
        <w:tc>
          <w:tcPr>
            <w:tcW w:type="dxa" w:w="6520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Put it in order, then true or false.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12</w:t>
            </w:r>
          </w:p>
        </w:tc>
        <w:tc>
          <w:tcPr>
            <w:tcW w:type="dxa" w:w="181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Writing</w:t>
            </w:r>
          </w:p>
        </w:tc>
        <w:tc>
          <w:tcPr>
            <w:tcW w:type="dxa" w:w="6520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'Letter home, 1948'. Invite volunteers to read theirs aloud.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6</w:t>
            </w:r>
          </w:p>
        </w:tc>
        <w:tc>
          <w:tcPr>
            <w:tcW w:type="dxa" w:w="181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Talk It Out</w:t>
            </w:r>
          </w:p>
        </w:tc>
        <w:tc>
          <w:tcPr>
            <w:tcW w:type="dxa" w:w="6520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Discussion questions, focusing on the scandal.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5</w:t>
            </w:r>
          </w:p>
        </w:tc>
        <w:tc>
          <w:tcPr>
            <w:tcW w:type="dxa" w:w="181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Reflection</w:t>
            </w:r>
          </w:p>
        </w:tc>
        <w:tc>
          <w:tcPr>
            <w:tcW w:type="dxa" w:w="6520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Opinion scale, confidence check and exit ticket.</w:t>
            </w: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pBdr>
          <w:top w:val="single" w:sz="4" w:space="4" w:color="E8A800"/>
          <w:left w:val="single" w:sz="4" w:space="6" w:color="E8A800"/>
          <w:bottom w:val="single" w:sz="4" w:space="4" w:color="E8A800"/>
          <w:right w:val="single" w:sz="4" w:space="6" w:color="E8A800"/>
        </w:pBdr>
        <w:shd w:val="clear" w:color="auto" w:fill="E8A800"/>
        <w:spacing w:before="200" w:after="120"/>
        <w:ind w:left="68" w:right="68"/>
      </w:pPr>
      <w:r>
        <w:rPr>
          <w:rFonts w:ascii="Aptos Display" w:hAnsi="Aptos Display"/>
          <w:b/>
          <w:i w:val="0"/>
          <w:color w:val="1A1A1A"/>
          <w:sz w:val="27"/>
        </w:rPr>
        <w:t xml:space="preserve">5.  Background for Staff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7087"/>
      </w:tblGrid>
      <w:tr>
        <w:trPr>
          <w:cantSplit/>
        </w:trPr>
        <w:tc>
          <w:tcPr>
            <w:tcW w:type="dxa" w:w="2154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 xml:space="preserve">When</w:t>
            </w:r>
          </w:p>
        </w:tc>
        <w:tc>
          <w:tcPr>
            <w:tcW w:type="dxa" w:w="7087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 xml:space="preserve">What happened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22 June 1948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The Empire Windrush docks at Tilbury with 1,027 passengers.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July 1948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The NHS is founded; the British Nationality Act 1948 creates 'Citizenship of the UK and Colonies'.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1958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Racist attacks lead to riots in Notting Hill and Nottingham.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1959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Claudia Jones organises an indoor Caribbean carnival in London.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1962 &amp; 1971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The Commonwealth Immigrants Act restricts entry; the Immigration Act 1971 confirms the right to stay for those already settled, but many are never given papers.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2012 onwards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'Hostile environment' policies require proof of status for work, housing and healthcare.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2018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The Windrush scandal is exposed, largely by journalist Amelia Gentleman; the Home Secretary resigns.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2019–2020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A compensation scheme opens (2019) and the Windrush Lessons Learned Review is published (2020).</w:t>
            </w: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pBdr>
          <w:top w:val="single" w:sz="4" w:space="4" w:color="007A3D"/>
          <w:left w:val="single" w:sz="4" w:space="6" w:color="007A3D"/>
          <w:bottom w:val="single" w:sz="4" w:space="4" w:color="007A3D"/>
          <w:right w:val="single" w:sz="4" w:space="6" w:color="007A3D"/>
        </w:pBdr>
        <w:shd w:val="clear" w:color="auto" w:fill="007A3D"/>
        <w:spacing w:before="200" w:after="120"/>
        <w:ind w:left="68" w:right="68"/>
      </w:pPr>
      <w:r>
        <w:rPr>
          <w:rFonts w:ascii="Aptos Display" w:hAnsi="Aptos Display"/>
          <w:b/>
          <w:i w:val="0"/>
          <w:color w:val="FFFFFF"/>
          <w:sz w:val="27"/>
        </w:rPr>
        <w:t>6.  Delivery Notes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E8A800"/>
          <w:sz w:val="16"/>
        </w:rPr>
        <w:t xml:space="preserve">■  </w:t>
      </w:r>
      <w:r>
        <w:rPr>
          <w:rFonts w:ascii="Aptos" w:hAnsi="Aptos"/>
          <w:b w:val="0"/>
          <w:i w:val="0"/>
          <w:color w:val="1A1A1A"/>
          <w:sz w:val="20"/>
        </w:rPr>
        <w:t>Many students may have family links to the Windrush generation. Invite (never require) them to share family stories.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E8A800"/>
          <w:sz w:val="16"/>
        </w:rPr>
        <w:t xml:space="preserve">■  </w:t>
      </w:r>
      <w:r>
        <w:rPr>
          <w:rFonts w:ascii="Aptos" w:hAnsi="Aptos"/>
          <w:b w:val="0"/>
          <w:i w:val="0"/>
          <w:color w:val="1A1A1A"/>
          <w:sz w:val="20"/>
        </w:rPr>
        <w:t>Photos and newsreel clips of the 1948 arrival are powerful. The National Archives and Royal Museums Greenwich have good free resources.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E8A800"/>
          <w:sz w:val="16"/>
        </w:rPr>
        <w:t xml:space="preserve">■  </w:t>
      </w:r>
      <w:r>
        <w:rPr>
          <w:rFonts w:ascii="Aptos" w:hAnsi="Aptos"/>
          <w:b w:val="0"/>
          <w:i w:val="0"/>
          <w:color w:val="1A1A1A"/>
          <w:sz w:val="20"/>
        </w:rPr>
        <w:t>Explain the difference between 'illegal' and 'undocumented': the scandal happened because people had never been given papers, not because they had broken the law.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E8A800"/>
          <w:sz w:val="16"/>
        </w:rPr>
        <w:t xml:space="preserve">■  </w:t>
      </w:r>
      <w:r>
        <w:rPr>
          <w:rFonts w:ascii="Aptos" w:hAnsi="Aptos"/>
          <w:b w:val="0"/>
          <w:i w:val="0"/>
          <w:color w:val="1A1A1A"/>
          <w:sz w:val="20"/>
        </w:rPr>
        <w:t>The letter-writing task works best if you model an opening line first.</w:t>
      </w:r>
    </w:p>
    <w:p>
      <w:pPr>
        <w:spacing w:after="0" w:line="120" w:lineRule="exact"/>
      </w:pPr>
      <w:r>
        <w:rPr>
          <w:sz w:val="4"/>
        </w:rPr>
      </w:r>
    </w:p>
    <w:p>
      <w:pPr>
        <w:keepNext/>
        <w:pBdr>
          <w:top w:val="single" w:sz="4" w:space="4" w:color="CE1126"/>
          <w:left w:val="single" w:sz="4" w:space="6" w:color="CE1126"/>
          <w:bottom w:val="single" w:sz="4" w:space="4" w:color="CE1126"/>
          <w:right w:val="single" w:sz="4" w:space="6" w:color="CE1126"/>
        </w:pBdr>
        <w:shd w:val="clear" w:color="auto" w:fill="CE1126"/>
        <w:spacing w:before="200" w:after="120"/>
        <w:ind w:left="68" w:right="68"/>
      </w:pPr>
      <w:r>
        <w:rPr>
          <w:rFonts w:ascii="Aptos Display" w:hAnsi="Aptos Display"/>
          <w:b/>
          <w:i w:val="0"/>
          <w:color w:val="FFFFFF"/>
          <w:sz w:val="27"/>
        </w:rPr>
        <w:t>7.  Answer Key</w:t>
      </w:r>
    </w:p>
    <w:p>
      <w:pPr>
        <w:keepNext/>
        <w:spacing w:before="80" w:after="60"/>
      </w:pPr>
      <w:r>
        <w:rPr>
          <w:rFonts w:ascii="Aptos Display" w:hAnsi="Aptos Display"/>
          <w:b/>
          <w:i w:val="0"/>
          <w:color w:val="007A3D"/>
          <w:sz w:val="24"/>
        </w:rPr>
        <w:t>Put it in order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74"/>
        <w:gridCol w:w="2268"/>
      </w:tblGrid>
      <w:tr>
        <w:trPr>
          <w:cantSplit/>
        </w:trPr>
        <w:tc>
          <w:tcPr>
            <w:tcW w:type="dxa" w:w="6973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>Event (as shown on the worksheet)</w:t>
            </w:r>
          </w:p>
        </w:tc>
        <w:tc>
          <w:tcPr>
            <w:tcW w:type="dxa" w:w="2268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>Correct number</w:t>
            </w:r>
          </w:p>
        </w:tc>
      </w:tr>
      <w:tr>
        <w:trPr>
          <w:cantSplit/>
        </w:trPr>
        <w:tc>
          <w:tcPr>
            <w:tcW w:type="dxa" w:w="697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Box 1: The Empire Windrush docks at Tilbury (22 June 1948)</w:t>
            </w:r>
          </w:p>
        </w:tc>
        <w:tc>
          <w:tcPr>
            <w:tcW w:type="dxa" w:w="2268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697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Box 2: The Windrush scandal comes to light (around 2017)</w:t>
            </w:r>
          </w:p>
        </w:tc>
        <w:tc>
          <w:tcPr>
            <w:tcW w:type="dxa" w:w="2268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697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Box 3: Caribbean volunteers serve Britain in the Second World War</w:t>
            </w:r>
          </w:p>
        </w:tc>
        <w:tc>
          <w:tcPr>
            <w:tcW w:type="dxa" w:w="2268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97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Box 4: The NHS is founded (July 1948)</w:t>
            </w:r>
          </w:p>
        </w:tc>
        <w:tc>
          <w:tcPr>
            <w:tcW w:type="dxa" w:w="2268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697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Box 5: The British Nationality Act becomes law (30 July 1948)</w:t>
            </w:r>
          </w:p>
        </w:tc>
        <w:tc>
          <w:tcPr>
            <w:tcW w:type="dxa" w:w="2268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4</w:t>
            </w: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spacing w:before="80" w:after="60"/>
      </w:pPr>
      <w:r>
        <w:rPr>
          <w:rFonts w:ascii="Aptos Display" w:hAnsi="Aptos Display"/>
          <w:b/>
          <w:i w:val="0"/>
          <w:color w:val="007A3D"/>
          <w:sz w:val="24"/>
        </w:rPr>
        <w:t>True or false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1417"/>
        <w:gridCol w:w="3855"/>
      </w:tblGrid>
      <w:tr>
        <w:trPr>
          <w:cantSplit/>
        </w:trPr>
        <w:tc>
          <w:tcPr>
            <w:tcW w:type="dxa" w:w="3969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>Statement</w:t>
            </w:r>
          </w:p>
        </w:tc>
        <w:tc>
          <w:tcPr>
            <w:tcW w:type="dxa" w:w="1417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>Answer</w:t>
            </w:r>
          </w:p>
        </w:tc>
        <w:tc>
          <w:tcPr>
            <w:tcW w:type="dxa" w:w="3855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>Why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1. The Windrush generation had the right to live and work in Britain.</w:t>
            </w:r>
          </w:p>
        </w:tc>
        <w:tc>
          <w:tcPr>
            <w:tcW w:type="dxa" w:w="141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TRUE</w:t>
            </w:r>
          </w:p>
        </w:tc>
        <w:tc>
          <w:tcPr>
            <w:tcW w:type="dxa" w:w="3855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As British subjects they had this right, and the 1948 Act confirmed it.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2. Everyone on the Windrush came from Jamaica.</w:t>
            </w:r>
          </w:p>
        </w:tc>
        <w:tc>
          <w:tcPr>
            <w:tcW w:type="dxa" w:w="141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FALSE</w:t>
            </w:r>
          </w:p>
        </w:tc>
        <w:tc>
          <w:tcPr>
            <w:tcW w:type="dxa" w:w="3855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Jamaica was the most common, but people came from many places.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3. The NHS was founded in 1948.</w:t>
            </w:r>
          </w:p>
        </w:tc>
        <w:tc>
          <w:tcPr>
            <w:tcW w:type="dxa" w:w="141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TRUE</w:t>
            </w:r>
          </w:p>
        </w:tc>
        <w:tc>
          <w:tcPr>
            <w:tcW w:type="dxa" w:w="3855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Just two weeks after the Windrush arrived.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4. No Windrush-generation people were ever deported.</w:t>
            </w:r>
          </w:p>
        </w:tc>
        <w:tc>
          <w:tcPr>
            <w:tcW w:type="dxa" w:w="141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FALSE</w:t>
            </w:r>
          </w:p>
        </w:tc>
        <w:tc>
          <w:tcPr>
            <w:tcW w:type="dxa" w:w="3855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Some were wrongly deported during the scandal.</w:t>
            </w: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spacing w:before="80" w:after="60"/>
      </w:pPr>
      <w:r>
        <w:rPr>
          <w:rFonts w:ascii="Aptos Display" w:hAnsi="Aptos Display"/>
          <w:b/>
          <w:i w:val="0"/>
          <w:color w:val="007A3D"/>
          <w:sz w:val="24"/>
        </w:rPr>
        <w:t>Letter home, 1948</w:t>
      </w:r>
    </w:p>
    <w:p>
      <w:pPr>
        <w:spacing w:before="0" w:after="160"/>
      </w:pPr>
      <w:r>
        <w:rPr>
          <w:rFonts w:ascii="Aptos" w:hAnsi="Aptos"/>
          <w:b w:val="0"/>
          <w:i w:val="0"/>
          <w:color w:val="1A1A1A"/>
          <w:sz w:val="20"/>
        </w:rPr>
        <w:t>Open task: there is no single right answer. Look for accurate facts from the Learn section, effort and personal reflection.</w:t>
      </w:r>
    </w:p>
    <w:p>
      <w:pPr>
        <w:keepNext/>
        <w:pBdr>
          <w:top w:val="single" w:sz="4" w:space="4" w:color="E8A800"/>
          <w:left w:val="single" w:sz="4" w:space="6" w:color="E8A800"/>
          <w:bottom w:val="single" w:sz="4" w:space="4" w:color="E8A800"/>
          <w:right w:val="single" w:sz="4" w:space="6" w:color="E8A800"/>
        </w:pBdr>
        <w:shd w:val="clear" w:color="auto" w:fill="E8A800"/>
        <w:spacing w:before="200" w:after="120"/>
        <w:ind w:left="68" w:right="68"/>
      </w:pPr>
      <w:r>
        <w:rPr>
          <w:rFonts w:ascii="Aptos Display" w:hAnsi="Aptos Display"/>
          <w:b/>
          <w:i w:val="0"/>
          <w:color w:val="1A1A1A"/>
          <w:sz w:val="27"/>
        </w:rPr>
        <w:t>8.  Sensitivity &amp; Safeguarding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2"/>
      </w:tblGrid>
      <w:tr>
        <w:trPr>
          <w:cantSplit/>
        </w:trPr>
        <w:tc>
          <w:tcPr>
            <w:tcW w:type="dxa" w:w="9241"/>
            <w:tcBorders>
              <w:top w:val="nil"/>
              <w:left w:val="single" w:sz="36" w:space="0" w:color="CE1126"/>
              <w:bottom w:val="nil"/>
              <w:right w:val="nil"/>
            </w:tcBorders>
            <w:shd w:val="clear" w:color="auto" w:fill="FBE4E7"/>
            <w:tcMar>
              <w:top w:w="110" w:type="dxa"/>
              <w:left w:w="220" w:type="dxa"/>
              <w:bottom w:w="110" w:type="dxa"/>
              <w:right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CE1126"/>
                <w:sz w:val="19"/>
              </w:rPr>
              <w:t>BEFORE YOU DELIVER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The Windrush scandal may be personal for some families, some of whom may have been directly affected. Immigration status can be a sensitive topic for any student. Never ask students about their own or their family's status.</w:t>
            </w: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spacing w:before="0" w:after="120"/>
      </w:pPr>
      <w:r>
        <w:rPr>
          <w:rFonts w:ascii="Aptos" w:hAnsi="Aptos"/>
          <w:b w:val="0"/>
          <w:i/>
          <w:color w:val="5E5E5E"/>
          <w:sz w:val="20"/>
        </w:rPr>
        <w:t>Follow your setting's safeguarding policy. If a student makes a disclosure, stay calm, listen, do not promise confidentiality, and report it to the Designated Safeguarding Lead.</w:t>
      </w:r>
    </w:p>
    <w:p>
      <w:pPr>
        <w:keepNext/>
        <w:pBdr>
          <w:top w:val="single" w:sz="4" w:space="4" w:color="007A3D"/>
          <w:left w:val="single" w:sz="4" w:space="6" w:color="007A3D"/>
          <w:bottom w:val="single" w:sz="4" w:space="4" w:color="007A3D"/>
          <w:right w:val="single" w:sz="4" w:space="6" w:color="007A3D"/>
        </w:pBdr>
        <w:shd w:val="clear" w:color="auto" w:fill="007A3D"/>
        <w:spacing w:before="200" w:after="120"/>
        <w:ind w:left="68" w:right="68"/>
      </w:pPr>
      <w:r>
        <w:rPr>
          <w:rFonts w:ascii="Aptos Display" w:hAnsi="Aptos Display"/>
          <w:b/>
          <w:i w:val="0"/>
          <w:color w:val="FFFFFF"/>
          <w:sz w:val="27"/>
        </w:rPr>
        <w:t>9.  Extension Ideas</w:t>
      </w:r>
    </w:p>
    <w:p>
      <w:pPr>
        <w:keepNext/>
        <w:spacing w:after="60"/>
        <w:ind w:left="454" w:hanging="255"/>
      </w:pPr>
      <w:r>
        <w:rPr>
          <w:rFonts w:ascii="Aptos" w:hAnsi="Aptos"/>
          <w:b/>
          <w:i w:val="0"/>
          <w:color w:val="007A3D"/>
          <w:sz w:val="16"/>
        </w:rPr>
        <w:t xml:space="preserve">■  </w:t>
      </w:r>
      <w:r>
        <w:rPr>
          <w:rFonts w:ascii="Aptos" w:hAnsi="Aptos"/>
          <w:b w:val="0"/>
          <w:i w:val="0"/>
          <w:color w:val="1A1A1A"/>
          <w:sz w:val="20"/>
        </w:rPr>
        <w:t>Interview an older relative or neighbour about their journey to Britain.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007A3D"/>
          <w:sz w:val="16"/>
        </w:rPr>
        <w:t xml:space="preserve">■  </w:t>
      </w:r>
      <w:r>
        <w:rPr>
          <w:rFonts w:ascii="Aptos" w:hAnsi="Aptos"/>
          <w:b w:val="0"/>
          <w:i w:val="0"/>
          <w:color w:val="1A1A1A"/>
          <w:sz w:val="20"/>
        </w:rPr>
        <w:t>Research Sam King, a Windrush passenger who became Mayor of Southwark.</w:t>
      </w:r>
    </w:p>
    <w:sectPr w:rsidR="00801974" w:rsidSect="00C163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409" w:right="1502" w:bottom="2324" w:left="1502" w:header="1219" w:footer="119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9445F" w14:textId="77777777" w:rsidR="00705984" w:rsidRDefault="00705984">
      <w:r>
        <w:separator/>
      </w:r>
    </w:p>
  </w:endnote>
  <w:endnote w:type="continuationSeparator" w:id="0">
    <w:p w14:paraId="49892987" w14:textId="77777777" w:rsidR="00705984" w:rsidRDefault="007059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AE0AD" w14:textId="77777777" w:rsidR="00ED6CAE" w:rsidRDefault="00ED6C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6F305" w14:textId="77777777" w:rsidR="00C163CE" w:rsidRDefault="00C163CE">
    <w:pPr>
      <w:pBdr>
        <w:top w:val="single" w:sz="4" w:space="6" w:color="E8A800"/>
      </w:pBdr>
      <w:jc w:val="center"/>
    </w:pPr>
    <w:r>
      <w:rPr>
        <w:noProof/>
      </w:rPr>
      <w:drawing>
        <wp:inline distT="0" distB="0" distL="0" distR="0" wp14:anchorId="3C25B8CB" wp14:editId="0E2F2382">
          <wp:extent cx="2857500" cy="352425"/>
          <wp:effectExtent l="0" t="0" r="0" b="0"/>
          <wp:docPr id="806613884" name="Picture 8066138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0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73089FF" w14:textId="154D1D0A" w:rsidR="002D7275" w:rsidRDefault="002D7275" w:rsidP="002D7275">
    <w:pPr>
      <w:jc w:val="center"/>
    </w:pPr>
    <w:r>
      <w:rPr>
        <w:b/>
        <w:bCs/>
        <w:color w:val="1A1A1A"/>
      </w:rPr>
      <w:fldChar w:fldCharType="begin"/>
    </w:r>
    <w:r>
      <w:rPr>
        <w:b/>
        <w:bCs/>
        <w:color w:val="1A1A1A"/>
      </w:rPr>
      <w:instrText xml:space="preserve"> PAGE  \* MERGEFORMAT </w:instrText>
    </w:r>
    <w:r>
      <w:rPr>
        <w:b/>
        <w:bCs/>
        <w:color w:val="1A1A1A"/>
      </w:rPr>
      <w:fldChar w:fldCharType="separate"/>
    </w:r>
    <w:r>
      <w:rPr>
        <w:b/>
        <w:bCs/>
        <w:color w:val="1A1A1A"/>
        <w:noProof/>
      </w:rPr>
      <w:t>2</w:t>
    </w:r>
    <w:r>
      <w:rPr>
        <w:b/>
        <w:bCs/>
        <w:color w:val="1A1A1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6D224" w14:textId="77777777" w:rsidR="00ED6CAE" w:rsidRDefault="00ED6C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047AA" w14:textId="77777777" w:rsidR="00705984" w:rsidRDefault="00705984">
      <w:r>
        <w:separator/>
      </w:r>
    </w:p>
  </w:footnote>
  <w:footnote w:type="continuationSeparator" w:id="0">
    <w:p w14:paraId="222E377A" w14:textId="77777777" w:rsidR="00705984" w:rsidRDefault="007059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15E01" w14:textId="77777777" w:rsidR="00ED6CAE" w:rsidRDefault="00ED6C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before="0" w:after="0" w:line="20" w:lineRule="exact"/>
      <w:rPr>
        <w:sz w:val="2"/>
      </w:rPr>
    </w:pPr>
    <w:r>
      <w:rPr>
        <w:noProof/>
        <w:sz w:val="2"/>
      </w:rPr>
      <w:drawing>
        <wp:anchor distT="0" distB="0" distL="0" distR="0" simplePos="0" relativeHeight="251650000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900" name="Black History Month Flag Bor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0" name="bhm_border.png"/>
                  <pic:cNvPicPr/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650"/>
      <w:gridCol w:w="4650"/>
    </w:tblGrid>
    <w:tr w:rsidR="00C163CE" w14:paraId="03713D86" w14:textId="77777777">
      <w:tc>
        <w:tcPr>
          <w:tcW w:w="4650" w:type="dxa"/>
        </w:tcPr>
        <w:p w14:paraId="1D9B41ED" w14:textId="77777777" w:rsidR="00C163CE" w:rsidRDefault="00C163CE">
          <w:r>
            <w:rPr>
              <w:noProof/>
            </w:rPr>
            <w:drawing>
              <wp:inline distT="0" distB="0" distL="0" distR="0" wp14:anchorId="2A51E89E" wp14:editId="2355ABF3">
                <wp:extent cx="1335167" cy="63817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teps_to_success_logo_trimme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5167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50" w:type="dxa"/>
        </w:tcPr>
        <w:p w14:paraId="683CE6DB" w14:textId="77777777" w:rsidR="00C163CE" w:rsidRDefault="00C163CE">
          <w:pPr>
            <w:jc w:val="right"/>
          </w:pPr>
          <w:r>
            <w:rPr>
              <w:noProof/>
            </w:rPr>
            <w:drawing>
              <wp:inline distT="0" distB="0" distL="0" distR="0" wp14:anchorId="28B245BF" wp14:editId="5A2A7A44">
                <wp:extent cx="773742" cy="63817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3742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907F2" w14:textId="77777777" w:rsidR="00ED6CAE" w:rsidRDefault="00ED6C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15B53"/>
    <w:multiLevelType w:val="hybridMultilevel"/>
    <w:tmpl w:val="1038860E"/>
    <w:lvl w:ilvl="0" w:tplc="46F4710A">
      <w:start w:val="1"/>
      <w:numFmt w:val="bullet"/>
      <w:lvlText w:val="●"/>
      <w:lvlJc w:val="left"/>
      <w:pPr>
        <w:ind w:left="720" w:hanging="360"/>
      </w:pPr>
    </w:lvl>
    <w:lvl w:ilvl="1" w:tplc="EBAA920E">
      <w:start w:val="1"/>
      <w:numFmt w:val="bullet"/>
      <w:lvlText w:val="○"/>
      <w:lvlJc w:val="left"/>
      <w:pPr>
        <w:ind w:left="1440" w:hanging="360"/>
      </w:pPr>
    </w:lvl>
    <w:lvl w:ilvl="2" w:tplc="A9826FD8">
      <w:start w:val="1"/>
      <w:numFmt w:val="bullet"/>
      <w:lvlText w:val="■"/>
      <w:lvlJc w:val="left"/>
      <w:pPr>
        <w:ind w:left="2160" w:hanging="360"/>
      </w:pPr>
    </w:lvl>
    <w:lvl w:ilvl="3" w:tplc="3F20FCCE">
      <w:start w:val="1"/>
      <w:numFmt w:val="bullet"/>
      <w:lvlText w:val="●"/>
      <w:lvlJc w:val="left"/>
      <w:pPr>
        <w:ind w:left="2880" w:hanging="360"/>
      </w:pPr>
    </w:lvl>
    <w:lvl w:ilvl="4" w:tplc="F4AE40A8">
      <w:start w:val="1"/>
      <w:numFmt w:val="bullet"/>
      <w:lvlText w:val="○"/>
      <w:lvlJc w:val="left"/>
      <w:pPr>
        <w:ind w:left="3600" w:hanging="360"/>
      </w:pPr>
    </w:lvl>
    <w:lvl w:ilvl="5" w:tplc="E012D494">
      <w:start w:val="1"/>
      <w:numFmt w:val="bullet"/>
      <w:lvlText w:val="■"/>
      <w:lvlJc w:val="left"/>
      <w:pPr>
        <w:ind w:left="4320" w:hanging="360"/>
      </w:pPr>
    </w:lvl>
    <w:lvl w:ilvl="6" w:tplc="EA624976">
      <w:start w:val="1"/>
      <w:numFmt w:val="bullet"/>
      <w:lvlText w:val="●"/>
      <w:lvlJc w:val="left"/>
      <w:pPr>
        <w:ind w:left="5040" w:hanging="360"/>
      </w:pPr>
    </w:lvl>
    <w:lvl w:ilvl="7" w:tplc="8B6AC624">
      <w:start w:val="1"/>
      <w:numFmt w:val="bullet"/>
      <w:lvlText w:val="●"/>
      <w:lvlJc w:val="left"/>
      <w:pPr>
        <w:ind w:left="5760" w:hanging="360"/>
      </w:pPr>
    </w:lvl>
    <w:lvl w:ilvl="8" w:tplc="02665E32">
      <w:start w:val="1"/>
      <w:numFmt w:val="bullet"/>
      <w:lvlText w:val="●"/>
      <w:lvlJc w:val="left"/>
      <w:pPr>
        <w:ind w:left="6480" w:hanging="360"/>
      </w:pPr>
    </w:lvl>
  </w:abstractNum>
  <w:num w:numId="1" w16cid:durableId="15975975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793"/>
    <w:rsid w:val="00021767"/>
    <w:rsid w:val="00246793"/>
    <w:rsid w:val="002D7275"/>
    <w:rsid w:val="0031108E"/>
    <w:rsid w:val="00705984"/>
    <w:rsid w:val="00801974"/>
    <w:rsid w:val="008E0CD5"/>
    <w:rsid w:val="00956606"/>
    <w:rsid w:val="00A14FAF"/>
    <w:rsid w:val="00B349D1"/>
    <w:rsid w:val="00C163CE"/>
    <w:rsid w:val="00C400A5"/>
    <w:rsid w:val="00ED6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67ACC"/>
  <w15:docId w15:val="{6D1B472D-CE2F-4031-A175-A94E0196F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 w:eastAsia="Aptos"/>
      <w:color w:val="1A1A1A"/>
      <w:sz w:val="20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D6CA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6CAE"/>
  </w:style>
  <w:style w:type="paragraph" w:styleId="Footer">
    <w:name w:val="footer"/>
    <w:basedOn w:val="Normal"/>
    <w:link w:val="FooterChar"/>
    <w:uiPriority w:val="99"/>
    <w:unhideWhenUsed/>
    <w:rsid w:val="00ED6CA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6C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Corrected Week 1 delivery-ready activity material</dc:subject>
  <dc:creator>Un-named</dc:creator>
  <cp:keywords>steps_to_success_logo_added</cp:keywords>
  <dc:description>Activity alignment, age-tiering and multimodal response corrections.</dc:description>
  <cp:lastModifiedBy>Levi AP</cp:lastModifiedBy>
  <cp:revision>5</cp:revision>
  <dcterms:created xsi:type="dcterms:W3CDTF">2026-08-12T22:05:00Z</dcterms:created>
  <dcterms:modified xsi:type="dcterms:W3CDTF">2026-09-02T23:04:00Z</dcterms:modified>
</cp:coreProperties>
</file>