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From Windrush to Grime</w:t>
      </w:r>
    </w:p>
    <w:p>
      <w:pPr>
        <w:spacing w:before="0" w:after="120"/>
      </w:pPr>
      <w:r>
        <w:rPr>
          <w:rFonts w:ascii="Aptos" w:hAnsi="Aptos"/>
          <w:b w:val="0"/>
          <w:i w:val="0"/>
          <w:color w:val="007A3D"/>
          <w:sz w:val="25"/>
        </w:rPr>
        <w:t>How Black music shaped the sound of Britain</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FACILITATOR GUIDE  ·  AGES 11–16  ·  45–60 MINUTES</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Session Overview</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Duration</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45–60 minutes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Age group</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11–16 (adapt language and pace as needed)</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You will need</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Student worksheet (one each), pens, board. A map, photos or short clips help (see Delivery Notes).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Activity types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Put it in order, match it, table task, group discussion, role play, opinion scale, confidence check.</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spacing w:after="0"/>
            </w:pPr>
            <w:r>
              <w:rPr>
                <w:rFonts w:ascii="Aptos" w:hAnsi="Aptos"/>
                <w:b/>
                <w:i w:val="0"/>
                <w:color w:val="007A3D"/>
                <w:sz w:val="21"/>
              </w:rPr>
              <w:t>Grouping</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Whole class, pairs and small groups</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Why This Session</w:t>
      </w:r>
    </w:p>
    <w:p>
      <w:pPr>
        <w:spacing w:before="0" w:after="120"/>
      </w:pPr>
      <w:r>
        <w:rPr>
          <w:rFonts w:ascii="Aptos" w:hAnsi="Aptos"/>
          <w:b w:val="0"/>
          <w:i w:val="0"/>
          <w:color w:val="1A1A1A"/>
          <w:sz w:val="20"/>
        </w:rPr>
        <w:t>Britain's most exciting music scenes, from ska and lovers rock to jungle, garage, grime and drill, were created or shaped by Black British communities. This session traces that story from the Windrush generation's sound systems to the music students listen to today.</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Learning Objectives</w:t>
      </w:r>
    </w:p>
    <w:p>
      <w:pPr>
        <w:spacing w:after="60"/>
        <w:ind w:left="454" w:hanging="255"/>
      </w:pPr>
      <w:r>
        <w:rPr>
          <w:rFonts w:ascii="Aptos" w:hAnsi="Aptos"/>
          <w:b/>
          <w:i w:val="0"/>
          <w:color w:val="CE1126"/>
          <w:sz w:val="16"/>
        </w:rPr>
        <w:t xml:space="preserve">■  </w:t>
      </w:r>
      <w:r>
        <w:rPr>
          <w:rFonts w:ascii="Aptos" w:hAnsi="Aptos"/>
          <w:b w:val="0"/>
          <w:i w:val="0"/>
          <w:color w:val="1A1A1A"/>
          <w:sz w:val="20"/>
        </w:rPr>
        <w:t>Put the main Black British music genres in time order.</w:t>
      </w:r>
    </w:p>
    <w:p>
      <w:pPr>
        <w:spacing w:after="60"/>
        <w:ind w:left="454" w:hanging="255"/>
      </w:pPr>
      <w:r>
        <w:rPr>
          <w:rFonts w:ascii="Aptos" w:hAnsi="Aptos"/>
          <w:b/>
          <w:i w:val="0"/>
          <w:color w:val="E8A800"/>
          <w:sz w:val="16"/>
        </w:rPr>
        <w:t xml:space="preserve">■  </w:t>
      </w:r>
      <w:r>
        <w:rPr>
          <w:rFonts w:ascii="Aptos" w:hAnsi="Aptos"/>
          <w:b w:val="0"/>
          <w:i w:val="0"/>
          <w:color w:val="1A1A1A"/>
          <w:sz w:val="20"/>
        </w:rPr>
        <w:t>Explain how Caribbean music and sound-system culture shaped British music.</w:t>
      </w:r>
    </w:p>
    <w:p>
      <w:pPr>
        <w:spacing w:after="60"/>
        <w:ind w:left="454" w:hanging="255"/>
      </w:pPr>
      <w:r>
        <w:rPr>
          <w:rFonts w:ascii="Aptos" w:hAnsi="Aptos"/>
          <w:b/>
          <w:i w:val="0"/>
          <w:color w:val="007A3D"/>
          <w:sz w:val="16"/>
        </w:rPr>
        <w:t xml:space="preserve">■  </w:t>
      </w:r>
      <w:r>
        <w:rPr>
          <w:rFonts w:ascii="Aptos" w:hAnsi="Aptos"/>
          <w:b w:val="0"/>
          <w:i w:val="0"/>
          <w:color w:val="1A1A1A"/>
          <w:sz w:val="20"/>
        </w:rPr>
        <w:t>Connect today's music to its roots.</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Session Flow</w:t>
      </w:r>
    </w:p>
    <w:tbl>
      <w:tblPr>
        <w:tblW w:type="auto" w:w="0"/>
        <w:jc w:val="center"/>
        <w:tblLayout w:type="fixed"/>
        <w:tblLook w:firstColumn="1" w:firstRow="1" w:lastColumn="0" w:lastRow="0" w:noHBand="0" w:noVBand="1" w:val="04A0"/>
      </w:tblPr>
      <w:tblGrid>
        <w:gridCol w:w="907"/>
        <w:gridCol w:w="1814"/>
        <w:gridCol w:w="6520"/>
      </w:tblGrid>
      <w:tr>
        <w:trPr>
          <w:cantSplit/>
          <w:tblHeader/>
        </w:trPr>
        <w:tc>
          <w:tcPr>
            <w:tcW w:type="dxa" w:w="90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Mins</w:t>
            </w:r>
          </w:p>
        </w:tc>
        <w:tc>
          <w:tcPr>
            <w:tcW w:type="dxa" w:w="181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Section</w:t>
            </w:r>
          </w:p>
        </w:tc>
        <w:tc>
          <w:tcPr>
            <w:tcW w:type="dxa" w:w="6520"/>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What happens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Warm-Up</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What do you listen to? Note genres on the board.</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12</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Learn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Work through the four sections. Play short, clean clips of each genre.</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12</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Activities</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Put it in order, then match it.</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8</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Playlist</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Students build a five-track timeline playlist.</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8</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Role Play</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Radio DJ and historian.</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Reflection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Opinion scale, confidence check and exit ticket.</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5.  Background for Staff</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When</w:t>
            </w:r>
          </w:p>
        </w:tc>
        <w:tc>
          <w:tcPr>
            <w:tcW w:type="dxa" w:w="708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What happened</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1948</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Lord Kitchener sings 'London Is the Place for Me' on arriving with the Windrush.</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1959 &amp; 1966</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Claudia Jones's indoor carnival (1959); the first outdoor Notting Hill Carnival (1966).</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1964</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Millie Small's 'My Boy Lollipop' becomes one of the first big ska hits in Britain.</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1979</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Janet Kay's 'Silly Games' reaches number 2; Jerry Dammers launches the 2 Tone label.</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Early 1990s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Jungle emerges in London's rave and sound-system scenes.</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Late 1990s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UK garage takes off; Craig David's Born to Do It follows in 2000.</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2003 &amp; 2016</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Dizzee Rascal and Skepta win the Mercury Prize.</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2019 &amp; 2022</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Dave (2019) and Little Simz (2022) also win the Mercury Prize; Stormzy headlines Glastonbury (2019).</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Delivery Notes</w:t>
      </w:r>
    </w:p>
    <w:p>
      <w:pPr>
        <w:spacing w:after="60"/>
        <w:ind w:left="454" w:hanging="255"/>
      </w:pPr>
      <w:r>
        <w:rPr>
          <w:rFonts w:ascii="Aptos" w:hAnsi="Aptos"/>
          <w:b/>
          <w:i w:val="0"/>
          <w:color w:val="E8A800"/>
          <w:sz w:val="16"/>
        </w:rPr>
        <w:t xml:space="preserve">■  </w:t>
      </w:r>
      <w:r>
        <w:rPr>
          <w:rFonts w:ascii="Aptos" w:hAnsi="Aptos"/>
          <w:b w:val="0"/>
          <w:i w:val="0"/>
          <w:color w:val="1A1A1A"/>
          <w:sz w:val="20"/>
        </w:rPr>
        <w:t>Pre-check all music clips for clean versions. Many grime and drill tracks have explicit versions.</w:t>
      </w:r>
    </w:p>
    <w:p>
      <w:pPr>
        <w:spacing w:after="60"/>
        <w:ind w:left="454" w:hanging="255"/>
      </w:pPr>
      <w:r>
        <w:rPr>
          <w:rFonts w:ascii="Aptos" w:hAnsi="Aptos"/>
          <w:b/>
          <w:i w:val="0"/>
          <w:color w:val="E8A800"/>
          <w:sz w:val="16"/>
        </w:rPr>
        <w:t xml:space="preserve">■  </w:t>
      </w:r>
      <w:r>
        <w:rPr>
          <w:rFonts w:ascii="Aptos" w:hAnsi="Aptos"/>
          <w:b w:val="0"/>
          <w:i w:val="0"/>
          <w:color w:val="1A1A1A"/>
          <w:sz w:val="20"/>
        </w:rPr>
        <w:t>Drill can be a sensitive topic. Focus on the music's history and creativity, not violent content.</w:t>
      </w:r>
    </w:p>
    <w:p>
      <w:pPr>
        <w:spacing w:after="60"/>
        <w:ind w:left="454" w:hanging="255"/>
      </w:pPr>
      <w:r>
        <w:rPr>
          <w:rFonts w:ascii="Aptos" w:hAnsi="Aptos"/>
          <w:b/>
          <w:i w:val="0"/>
          <w:color w:val="E8A800"/>
          <w:sz w:val="16"/>
        </w:rPr>
        <w:t xml:space="preserve">■  </w:t>
      </w:r>
      <w:r>
        <w:rPr>
          <w:rFonts w:ascii="Aptos" w:hAnsi="Aptos"/>
          <w:b w:val="0"/>
          <w:i w:val="0"/>
          <w:color w:val="1A1A1A"/>
          <w:sz w:val="20"/>
        </w:rPr>
        <w:t>Link to the Black Music Legends session and the Windrush session.</w:t>
      </w:r>
    </w:p>
    <w:p>
      <w:pPr>
        <w:spacing w:after="60"/>
        <w:ind w:left="454" w:hanging="255"/>
      </w:pPr>
      <w:r>
        <w:rPr>
          <w:rFonts w:ascii="Aptos" w:hAnsi="Aptos"/>
          <w:b/>
          <w:i w:val="0"/>
          <w:color w:val="E8A800"/>
          <w:sz w:val="16"/>
        </w:rPr>
        <w:t xml:space="preserve">■  </w:t>
      </w:r>
      <w:r>
        <w:rPr>
          <w:rFonts w:ascii="Aptos" w:hAnsi="Aptos"/>
          <w:b w:val="0"/>
          <w:i w:val="0"/>
          <w:color w:val="1A1A1A"/>
          <w:sz w:val="20"/>
        </w:rPr>
        <w:t>Students' playlists could be played at the end of the session or at a Black History Month event.</w:t>
      </w:r>
    </w:p>
    <w:p>
      <w:pPr>
        <w:spacing w:after="0" w:line="12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7.  Answer Key</w:t>
      </w:r>
    </w:p>
    <w:p>
      <w:pPr>
        <w:keepNext/>
        <w:spacing w:before="80" w:after="60"/>
      </w:pPr>
      <w:r>
        <w:rPr>
          <w:rFonts w:ascii="Aptos Display" w:hAnsi="Aptos Display"/>
          <w:b/>
          <w:i w:val="0"/>
          <w:color w:val="007A3D"/>
          <w:sz w:val="24"/>
        </w:rPr>
        <w:t>Put it in order</w:t>
      </w:r>
    </w:p>
    <w:tbl>
      <w:tblPr>
        <w:tblW w:type="auto" w:w="0"/>
        <w:jc w:val="center"/>
        <w:tblLayout w:type="fixed"/>
        <w:tblLook w:firstColumn="1" w:firstRow="1" w:lastColumn="0" w:lastRow="0" w:noHBand="0" w:noVBand="1" w:val="04A0"/>
      </w:tblPr>
      <w:tblGrid>
        <w:gridCol w:w="6974"/>
        <w:gridCol w:w="2268"/>
      </w:tblGrid>
      <w:tr>
        <w:trPr>
          <w:cantSplit/>
        </w:trPr>
        <w:tc>
          <w:tcPr>
            <w:tcW w:type="dxa" w:w="697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Event (as shown on the worksheet)</w:t>
            </w:r>
          </w:p>
        </w:tc>
        <w:tc>
          <w:tcPr>
            <w:tcW w:type="dxa" w:w="226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Correct number</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Box 1: Dizzee Rascal wins the Mercury Prize (2003)</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4</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Box 2: Claudia Jones's indoor Caribbean carnival (1959)</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1</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Box 3: Stormzy headlines Glastonbury (2019)</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5</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Box 4: Jungle takes off (early 1990s)</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3</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Box 5: Lovers rock hits the charts (1979)</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2</w:t>
            </w:r>
          </w:p>
        </w:tc>
      </w:tr>
    </w:tbl>
    <w:p>
      <w:pPr>
        <w:spacing w:after="0" w:line="160" w:lineRule="exact"/>
      </w:pPr>
      <w:r>
        <w:rPr>
          <w:sz w:val="4"/>
        </w:rPr>
      </w:r>
    </w:p>
    <w:p>
      <w:pPr>
        <w:keepNext/>
        <w:spacing w:before="80" w:after="60"/>
      </w:pPr>
      <w:r>
        <w:rPr>
          <w:rFonts w:ascii="Aptos Display" w:hAnsi="Aptos Display"/>
          <w:b/>
          <w:i w:val="0"/>
          <w:color w:val="007A3D"/>
          <w:sz w:val="24"/>
        </w:rPr>
        <w:t>Match it</w:t>
      </w:r>
    </w:p>
    <w:tbl>
      <w:tblPr>
        <w:tblW w:type="auto" w:w="0"/>
        <w:jc w:val="center"/>
        <w:tblLayout w:type="fixed"/>
        <w:tblLook w:firstColumn="1" w:firstRow="1" w:lastColumn="0" w:lastRow="0" w:noHBand="0" w:noVBand="1" w:val="04A0"/>
      </w:tblPr>
      <w:tblGrid>
        <w:gridCol w:w="3402"/>
        <w:gridCol w:w="1247"/>
        <w:gridCol w:w="4592"/>
      </w:tblGrid>
      <w:tr>
        <w:trPr>
          <w:cantSplit/>
        </w:trPr>
        <w:tc>
          <w:tcPr>
            <w:tcW w:type="dxa" w:w="3402"/>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Item</w:t>
            </w:r>
          </w:p>
        </w:tc>
        <w:tc>
          <w:tcPr>
            <w:tcW w:type="dxa" w:w="124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Letter</w:t>
            </w:r>
          </w:p>
        </w:tc>
        <w:tc>
          <w:tcPr>
            <w:tcW w:type="dxa" w:w="4592"/>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Match</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Lovers rock</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C</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Smooth, romantic British reggae</w:t>
            </w:r>
          </w:p>
        </w:tc>
      </w:tr>
      <w:tr>
        <w:trPr>
          <w:cantSplit/>
        </w:trPr>
        <w:tc>
          <w:tcPr>
            <w:tcW w:type="dxa" w:w="340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Jungle</w:t>
            </w:r>
          </w:p>
        </w:tc>
        <w:tc>
          <w:tcPr>
            <w:tcW w:type="dxa" w:w="124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E</w:t>
            </w:r>
          </w:p>
        </w:tc>
        <w:tc>
          <w:tcPr>
            <w:tcW w:type="dxa" w:w="459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Fast breakbeats with reggae basslines</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Grime</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Born in East London in the early 2000s</w:t>
            </w:r>
          </w:p>
        </w:tc>
      </w:tr>
      <w:tr>
        <w:trPr>
          <w:cantSplit/>
        </w:trPr>
        <w:tc>
          <w:tcPr>
            <w:tcW w:type="dxa" w:w="340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 2 Tone</w:t>
            </w:r>
          </w:p>
        </w:tc>
        <w:tc>
          <w:tcPr>
            <w:tcW w:type="dxa" w:w="124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D</w:t>
            </w:r>
          </w:p>
        </w:tc>
        <w:tc>
          <w:tcPr>
            <w:tcW w:type="dxa" w:w="459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Ska and punk from Coventry</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 Sound system</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B</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Huge speaker stacks at parties</w:t>
            </w:r>
          </w:p>
        </w:tc>
      </w:tr>
    </w:tbl>
    <w:p>
      <w:pPr>
        <w:spacing w:after="0" w:line="160" w:lineRule="exact"/>
      </w:pPr>
      <w:r>
        <w:rPr>
          <w:sz w:val="4"/>
        </w:rPr>
      </w:r>
    </w:p>
    <w:p>
      <w:pPr>
        <w:keepNext/>
        <w:spacing w:before="80" w:after="60"/>
      </w:pPr>
      <w:r>
        <w:rPr>
          <w:rFonts w:ascii="Aptos Display" w:hAnsi="Aptos Display"/>
          <w:b/>
          <w:i w:val="0"/>
          <w:color w:val="007A3D"/>
          <w:sz w:val="24"/>
        </w:rPr>
        <w:t>Table task</w:t>
      </w:r>
    </w:p>
    <w:p>
      <w:pPr>
        <w:spacing w:before="0" w:after="160"/>
      </w:pPr>
      <w:r>
        <w:rPr>
          <w:rFonts w:ascii="Aptos" w:hAnsi="Aptos"/>
          <w:b w:val="0"/>
          <w:i w:val="0"/>
          <w:color w:val="1A1A1A"/>
          <w:sz w:val="20"/>
        </w:rPr>
        <w:t>Open task: there is no single right answer. Look for accurate facts from the Learn section, effort and personal reflection.</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8.  Sensitivity &amp; Safeguarding</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CE1126"/>
              <w:bottom w:val="nil"/>
              <w:right w:val="nil"/>
            </w:tcBorders>
            <w:shd w:val="clear" w:color="auto" w:fill="FBE4E7"/>
            <w:tcMar>
              <w:top w:w="110" w:type="dxa"/>
              <w:left w:w="220" w:type="dxa"/>
              <w:bottom w:w="110" w:type="dxa"/>
              <w:right w:w="180" w:type="dxa"/>
            </w:tcMar>
          </w:tcPr>
          <w:p>
            <w:pPr>
              <w:spacing w:after="60"/>
            </w:pPr>
            <w:r>
              <w:rPr>
                <w:rFonts w:ascii="Aptos" w:hAnsi="Aptos"/>
                <w:b/>
                <w:i w:val="0"/>
                <w:color w:val="CE1126"/>
                <w:sz w:val="19"/>
              </w:rPr>
              <w:t>BEFORE YOU DELIVER</w:t>
            </w:r>
          </w:p>
          <w:p>
            <w:pPr>
              <w:spacing w:after="0"/>
            </w:pPr>
            <w:r>
              <w:rPr>
                <w:rFonts w:ascii="Aptos" w:hAnsi="Aptos"/>
                <w:b w:val="0"/>
                <w:i w:val="0"/>
                <w:color w:val="1A1A1A"/>
                <w:sz w:val="20"/>
              </w:rPr>
              <w:t>Drill music has been linked in the media to gang violence, and some students may have personal experience of this. Keep the focus on music and culture. If students raise safety concerns, follow up privately in line with safeguarding procedures.</w:t>
            </w:r>
          </w:p>
        </w:tc>
      </w:tr>
    </w:tbl>
    <w:p>
      <w:pPr>
        <w:spacing w:after="0" w:line="160" w:lineRule="exact"/>
      </w:pPr>
      <w:r>
        <w:rPr>
          <w:sz w:val="4"/>
        </w:rPr>
      </w:r>
    </w:p>
    <w:p>
      <w:pPr>
        <w:spacing w:before="0" w:after="120"/>
      </w:pPr>
      <w:r>
        <w:rPr>
          <w:rFonts w:ascii="Aptos" w:hAnsi="Aptos"/>
          <w:b w:val="0"/>
          <w:i/>
          <w:color w:val="5E5E5E"/>
          <w:sz w:val="20"/>
        </w:rPr>
        <w:t>Follow your setting's safeguarding policy. If a student makes a disclosure, stay calm, listen, do not promise confidentiality, and report it to the Designated Safeguarding Lead.</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9.  Extension Ideas</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Research the history of Notting Hill Carnival.</w:t>
      </w:r>
    </w:p>
    <w:p>
      <w:pPr>
        <w:spacing w:after="60"/>
        <w:ind w:left="454" w:hanging="255"/>
      </w:pPr>
      <w:r>
        <w:rPr>
          <w:rFonts w:ascii="Aptos" w:hAnsi="Aptos"/>
          <w:b/>
          <w:i w:val="0"/>
          <w:color w:val="007A3D"/>
          <w:sz w:val="16"/>
        </w:rPr>
        <w:t xml:space="preserve">■  </w:t>
      </w:r>
      <w:r>
        <w:rPr>
          <w:rFonts w:ascii="Aptos" w:hAnsi="Aptos"/>
          <w:b w:val="0"/>
          <w:i w:val="0"/>
          <w:color w:val="1A1A1A"/>
          <w:sz w:val="20"/>
        </w:rPr>
        <w:t>Interview an older relative about the music they grew up with.</w:t>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