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40"/>
      </w:pPr>
      <w:r>
        <w:rPr>
          <w:rFonts w:ascii="Aptos Display" w:hAnsi="Aptos Display"/>
          <w:b/>
          <w:i w:val="0"/>
          <w:color w:val="CE1126"/>
          <w:sz w:val="23"/>
        </w:rPr>
        <w:t>BLACK HISTORY MONTH 2026</w:t>
      </w:r>
    </w:p>
    <w:p>
      <w:pPr>
        <w:spacing w:before="0" w:after="40"/>
      </w:pPr>
      <w:r>
        <w:rPr>
          <w:rFonts w:ascii="Aptos Display" w:hAnsi="Aptos Display"/>
          <w:b/>
          <w:i w:val="0"/>
          <w:color w:val="1A1A1A"/>
          <w:sz w:val="44"/>
        </w:rPr>
        <w:t>The Bristol Bus Boycott</w:t>
      </w:r>
    </w:p>
    <w:p>
      <w:pPr>
        <w:spacing w:before="0" w:after="120"/>
      </w:pPr>
      <w:r>
        <w:rPr>
          <w:rFonts w:ascii="Aptos" w:hAnsi="Aptos"/>
          <w:b w:val="0"/>
          <w:i w:val="0"/>
          <w:color w:val="007A3D"/>
          <w:sz w:val="25"/>
        </w:rPr>
        <w:t>How a community fought the 'colour bar' and helped change the law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80"/>
        <w:gridCol w:w="3080"/>
        <w:gridCol w:w="3080"/>
      </w:tblGrid>
      <w:tr>
        <w:trPr>
          <w:trHeight w:val="124" w:hRule="exact"/>
        </w:trPr>
        <w:tc>
          <w:tcPr>
            <w:tcW w:type="dxa" w:w="3080"/>
            <w:tcBorders>
              <w:top w:val="nil"/>
              <w:left w:val="nil"/>
              <w:bottom w:val="nil"/>
              <w:right w:val="nil"/>
            </w:tcBorders>
            <w:shd w:val="clear" w:color="auto" w:fill="CE1126"/>
          </w:tcPr>
          <w:p>
            <w:pPr>
              <w:spacing w:after="0"/>
            </w:pPr>
            <w:r>
              <w:rPr>
                <w:sz w:val="2"/>
              </w:rPr>
            </w:r>
          </w:p>
        </w:tc>
        <w:tc>
          <w:tcPr>
            <w:tcW w:type="dxa" w:w="3080"/>
            <w:tcBorders>
              <w:top w:val="nil"/>
              <w:left w:val="nil"/>
              <w:bottom w:val="nil"/>
              <w:right w:val="nil"/>
            </w:tcBorders>
            <w:shd w:val="clear" w:color="auto" w:fill="E8A800"/>
          </w:tcPr>
          <w:p>
            <w:pPr>
              <w:spacing w:after="0"/>
            </w:pPr>
            <w:r>
              <w:rPr>
                <w:sz w:val="2"/>
              </w:rPr>
            </w:r>
          </w:p>
        </w:tc>
        <w:tc>
          <w:tcPr>
            <w:tcW w:type="dxa" w:w="3080"/>
            <w:tcBorders>
              <w:top w:val="nil"/>
              <w:left w:val="nil"/>
              <w:bottom w:val="nil"/>
              <w:right w:val="nil"/>
            </w:tcBorders>
            <w:shd w:val="clear" w:color="auto" w:fill="007A3D"/>
          </w:tcPr>
          <w:p>
            <w:pPr>
              <w:spacing w:after="0"/>
            </w:pPr>
            <w:r>
              <w:rPr>
                <w:sz w:val="2"/>
              </w:rPr>
            </w:r>
          </w:p>
        </w:tc>
      </w:tr>
    </w:tbl>
    <w:p>
      <w:pPr>
        <w:spacing w:before="100" w:after="160"/>
      </w:pPr>
      <w:r>
        <w:rPr>
          <w:rFonts w:ascii="Aptos" w:hAnsi="Aptos"/>
          <w:b/>
          <w:i w:val="0"/>
          <w:color w:val="5E5E5E"/>
          <w:sz w:val="20"/>
        </w:rPr>
        <w:t>FACILITATOR GUIDE  ·  AGES 11–16  ·  45–60 MINUTES</w:t>
      </w:r>
    </w:p>
    <w:p>
      <w:pPr>
        <w:keepNext/>
        <w:pBdr>
          <w:top w:val="single" w:sz="4" w:space="4" w:color="CE1126"/>
          <w:left w:val="single" w:sz="4" w:space="6" w:color="CE1126"/>
          <w:bottom w:val="single" w:sz="4" w:space="4" w:color="CE1126"/>
          <w:right w:val="single" w:sz="4" w:space="6" w:color="CE1126"/>
        </w:pBdr>
        <w:shd w:val="clear" w:color="auto" w:fill="CE1126"/>
        <w:spacing w:before="200" w:after="120"/>
        <w:ind w:left="68" w:right="68"/>
      </w:pPr>
      <w:r>
        <w:rPr>
          <w:rFonts w:ascii="Aptos Display" w:hAnsi="Aptos Display"/>
          <w:b/>
          <w:i w:val="0"/>
          <w:color w:val="FFFFFF"/>
          <w:sz w:val="27"/>
        </w:rPr>
        <w:t>1.  Session Overview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7087"/>
      </w:tblGrid>
      <w:tr>
        <w:trPr>
          <w:cantSplit/>
        </w:trPr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DDF0E4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007A3D"/>
                <w:sz w:val="21"/>
              </w:rPr>
              <w:t>Duration</w:t>
            </w:r>
          </w:p>
        </w:tc>
        <w:tc>
          <w:tcPr>
            <w:tcW w:type="dxa" w:w="708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45–60 minutes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DDF0E4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007A3D"/>
                <w:sz w:val="21"/>
              </w:rPr>
              <w:t>Age group</w:t>
            </w:r>
          </w:p>
        </w:tc>
        <w:tc>
          <w:tcPr>
            <w:tcW w:type="dxa" w:w="708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11–16 (adapt language and pace as needed)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DDF0E4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007A3D"/>
                <w:sz w:val="21"/>
              </w:rPr>
              <w:t>You will need</w:t>
            </w:r>
          </w:p>
        </w:tc>
        <w:tc>
          <w:tcPr>
            <w:tcW w:type="dxa" w:w="708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Student worksheet (one each), pens, board. A map, photos or short clips help (see Delivery Notes).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DDF0E4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007A3D"/>
                <w:sz w:val="21"/>
              </w:rPr>
              <w:t>Activity types</w:t>
            </w:r>
          </w:p>
        </w:tc>
        <w:tc>
          <w:tcPr>
            <w:tcW w:type="dxa" w:w="708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Put it in order, true or false, fill the gaps, group discussion, role play, opinion scale, confidence check.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DDF0E4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007A3D"/>
                <w:sz w:val="21"/>
              </w:rPr>
              <w:t>Grouping</w:t>
            </w:r>
          </w:p>
        </w:tc>
        <w:tc>
          <w:tcPr>
            <w:tcW w:type="dxa" w:w="708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Whole class, pairs and small groups</w:t>
            </w:r>
          </w:p>
        </w:tc>
      </w:tr>
    </w:tbl>
    <w:p>
      <w:pPr>
        <w:spacing w:after="0" w:line="160" w:lineRule="exact"/>
      </w:pPr>
      <w:r>
        <w:rPr>
          <w:sz w:val="4"/>
        </w:rPr>
      </w:r>
    </w:p>
    <w:p>
      <w:pPr>
        <w:keepNext/>
        <w:pBdr>
          <w:top w:val="single" w:sz="4" w:space="4" w:color="E8A800"/>
          <w:left w:val="single" w:sz="4" w:space="6" w:color="E8A800"/>
          <w:bottom w:val="single" w:sz="4" w:space="4" w:color="E8A800"/>
          <w:right w:val="single" w:sz="4" w:space="6" w:color="E8A800"/>
        </w:pBdr>
        <w:shd w:val="clear" w:color="auto" w:fill="E8A800"/>
        <w:spacing w:before="200" w:after="120"/>
        <w:ind w:left="68" w:right="68"/>
      </w:pPr>
      <w:r>
        <w:rPr>
          <w:rFonts w:ascii="Aptos Display" w:hAnsi="Aptos Display"/>
          <w:b/>
          <w:i w:val="0"/>
          <w:color w:val="1A1A1A"/>
          <w:sz w:val="27"/>
        </w:rPr>
        <w:t>2.  Why This Session</w:t>
      </w:r>
    </w:p>
    <w:p>
      <w:pPr>
        <w:spacing w:before="0" w:after="120"/>
      </w:pPr>
      <w:r>
        <w:rPr>
          <w:rFonts w:ascii="Aptos" w:hAnsi="Aptos"/>
          <w:b w:val="0"/>
          <w:i w:val="0"/>
          <w:color w:val="1A1A1A"/>
          <w:sz w:val="20"/>
        </w:rPr>
        <w:t>In 1963, Black people in Bristol could not work as bus drivers or conductors because of their skin colour. A group of young campaigners organised a boycott, and it worked. Their action helped lead to Britain's first laws against racial discrimination. This session shows students that ordinary people can change unfair rules.</w:t>
      </w:r>
    </w:p>
    <w:p>
      <w:pPr>
        <w:keepNext/>
        <w:pBdr>
          <w:top w:val="single" w:sz="4" w:space="4" w:color="007A3D"/>
          <w:left w:val="single" w:sz="4" w:space="6" w:color="007A3D"/>
          <w:bottom w:val="single" w:sz="4" w:space="4" w:color="007A3D"/>
          <w:right w:val="single" w:sz="4" w:space="6" w:color="007A3D"/>
        </w:pBdr>
        <w:shd w:val="clear" w:color="auto" w:fill="007A3D"/>
        <w:spacing w:before="200" w:after="120"/>
        <w:ind w:left="68" w:right="68"/>
      </w:pPr>
      <w:r>
        <w:rPr>
          <w:rFonts w:ascii="Aptos Display" w:hAnsi="Aptos Display"/>
          <w:b/>
          <w:i w:val="0"/>
          <w:color w:val="FFFFFF"/>
          <w:sz w:val="27"/>
        </w:rPr>
        <w:t>3.  Learning Objectives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CE1126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>Explain what the 'colour bar' was.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E8A800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>Describe how the Bristol Bus Boycott was organised and what it achieved.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007A3D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>Link the boycott to the Race Relations Acts of 1965 and 1968.</w:t>
      </w:r>
    </w:p>
    <w:p>
      <w:pPr>
        <w:keepNext/>
        <w:pBdr>
          <w:top w:val="single" w:sz="4" w:space="4" w:color="CE1126"/>
          <w:left w:val="single" w:sz="4" w:space="6" w:color="CE1126"/>
          <w:bottom w:val="single" w:sz="4" w:space="4" w:color="CE1126"/>
          <w:right w:val="single" w:sz="4" w:space="6" w:color="CE1126"/>
        </w:pBdr>
        <w:shd w:val="clear" w:color="auto" w:fill="CE1126"/>
        <w:spacing w:before="200" w:after="120"/>
        <w:ind w:left="68" w:right="68"/>
      </w:pPr>
      <w:r>
        <w:rPr>
          <w:rFonts w:ascii="Aptos Display" w:hAnsi="Aptos Display"/>
          <w:b/>
          <w:i w:val="0"/>
          <w:color w:val="FFFFFF"/>
          <w:sz w:val="27"/>
        </w:rPr>
        <w:t>4.  Session Flow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814"/>
        <w:gridCol w:w="6520"/>
      </w:tblGrid>
      <w:tr>
        <w:trPr>
          <w:cantSplit/>
          <w:tblHeader/>
        </w:trPr>
        <w:tc>
          <w:tcPr>
            <w:tcW w:type="dxa" w:w="907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>Mins</w:t>
            </w:r>
          </w:p>
        </w:tc>
        <w:tc>
          <w:tcPr>
            <w:tcW w:type="dxa" w:w="1814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>Section</w:t>
            </w:r>
          </w:p>
        </w:tc>
        <w:tc>
          <w:tcPr>
            <w:tcW w:type="dxa" w:w="6520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>What happens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5</w:t>
            </w:r>
          </w:p>
        </w:tc>
        <w:tc>
          <w:tcPr>
            <w:tcW w:type="dxa" w:w="181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6520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What could you do if a company refused to hire you? List ideas.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12</w:t>
            </w:r>
          </w:p>
        </w:tc>
        <w:tc>
          <w:tcPr>
            <w:tcW w:type="dxa" w:w="181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Learn</w:t>
            </w:r>
          </w:p>
        </w:tc>
        <w:tc>
          <w:tcPr>
            <w:tcW w:type="dxa" w:w="6520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Work through the four sections and the timeline table.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15</w:t>
            </w:r>
          </w:p>
        </w:tc>
        <w:tc>
          <w:tcPr>
            <w:tcW w:type="dxa" w:w="181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Activities</w:t>
            </w:r>
          </w:p>
        </w:tc>
        <w:tc>
          <w:tcPr>
            <w:tcW w:type="dxa" w:w="6520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Put it in order, true or false, then the gap fill.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10</w:t>
            </w:r>
          </w:p>
        </w:tc>
        <w:tc>
          <w:tcPr>
            <w:tcW w:type="dxa" w:w="181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Role Play</w:t>
            </w:r>
          </w:p>
        </w:tc>
        <w:tc>
          <w:tcPr>
            <w:tcW w:type="dxa" w:w="6520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Campaigner and manager scene in pairs.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5</w:t>
            </w:r>
          </w:p>
        </w:tc>
        <w:tc>
          <w:tcPr>
            <w:tcW w:type="dxa" w:w="181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Talk It Out</w:t>
            </w:r>
          </w:p>
        </w:tc>
        <w:tc>
          <w:tcPr>
            <w:tcW w:type="dxa" w:w="6520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Group discussion, linking to issues today.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5</w:t>
            </w:r>
          </w:p>
        </w:tc>
        <w:tc>
          <w:tcPr>
            <w:tcW w:type="dxa" w:w="181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Reflection</w:t>
            </w:r>
          </w:p>
        </w:tc>
        <w:tc>
          <w:tcPr>
            <w:tcW w:type="dxa" w:w="6520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Opinion scale, confidence check and exit ticket.</w:t>
            </w:r>
          </w:p>
        </w:tc>
      </w:tr>
    </w:tbl>
    <w:p>
      <w:pPr>
        <w:spacing w:after="0" w:line="160" w:lineRule="exact"/>
      </w:pPr>
      <w:r>
        <w:rPr>
          <w:sz w:val="4"/>
        </w:rPr>
      </w:r>
    </w:p>
    <w:p>
      <w:pPr>
        <w:keepNext/>
        <w:pBdr>
          <w:top w:val="single" w:sz="4" w:space="4" w:color="E8A800"/>
          <w:left w:val="single" w:sz="4" w:space="6" w:color="E8A800"/>
          <w:bottom w:val="single" w:sz="4" w:space="4" w:color="E8A800"/>
          <w:right w:val="single" w:sz="4" w:space="6" w:color="E8A800"/>
        </w:pBdr>
        <w:shd w:val="clear" w:color="auto" w:fill="E8A800"/>
        <w:spacing w:before="200" w:after="120"/>
        <w:ind w:left="68" w:right="68"/>
      </w:pPr>
      <w:r>
        <w:rPr>
          <w:rFonts w:ascii="Aptos Display" w:hAnsi="Aptos Display"/>
          <w:b/>
          <w:i w:val="0"/>
          <w:color w:val="1A1A1A"/>
          <w:sz w:val="27"/>
        </w:rPr>
        <w:t>5.  Delivery Notes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E8A800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>Compare the warm-up ideas with what the campaigners actually did.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E8A800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>This links well to the Montgomery Bus Boycott (1955) in the USA, which inspired the Bristol campaigners.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E8A800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>In the last Talk It Out question, steer students towards peaceful, lawful forms of campaigning.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E8A800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>Paul Stephenson was awarded an OBE and the Pride of Britain Lifetime Achievement Award.</w:t>
      </w:r>
    </w:p>
    <w:p>
      <w:pPr>
        <w:spacing w:after="0" w:line="120" w:lineRule="exact"/>
      </w:pPr>
      <w:r>
        <w:rPr>
          <w:sz w:val="4"/>
        </w:rPr>
      </w:r>
    </w:p>
    <w:p>
      <w:pPr>
        <w:keepNext/>
        <w:pBdr>
          <w:top w:val="single" w:sz="4" w:space="4" w:color="007A3D"/>
          <w:left w:val="single" w:sz="4" w:space="6" w:color="007A3D"/>
          <w:bottom w:val="single" w:sz="4" w:space="4" w:color="007A3D"/>
          <w:right w:val="single" w:sz="4" w:space="6" w:color="007A3D"/>
        </w:pBdr>
        <w:shd w:val="clear" w:color="auto" w:fill="007A3D"/>
        <w:spacing w:before="200" w:after="120"/>
        <w:ind w:left="68" w:right="68"/>
      </w:pPr>
      <w:r>
        <w:rPr>
          <w:rFonts w:ascii="Aptos Display" w:hAnsi="Aptos Display"/>
          <w:b/>
          <w:i w:val="0"/>
          <w:color w:val="FFFFFF"/>
          <w:sz w:val="27"/>
        </w:rPr>
        <w:t>6.  Answer Key</w:t>
      </w:r>
    </w:p>
    <w:p>
      <w:pPr>
        <w:keepNext/>
        <w:spacing w:before="80" w:after="60"/>
      </w:pPr>
      <w:r>
        <w:rPr>
          <w:rFonts w:ascii="Aptos Display" w:hAnsi="Aptos Display"/>
          <w:b/>
          <w:i w:val="0"/>
          <w:color w:val="007A3D"/>
          <w:sz w:val="24"/>
        </w:rPr>
        <w:t>Put it in order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74"/>
        <w:gridCol w:w="2268"/>
      </w:tblGrid>
      <w:tr>
        <w:trPr>
          <w:cantSplit/>
        </w:trPr>
        <w:tc>
          <w:tcPr>
            <w:tcW w:type="dxa" w:w="6973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>Event (as shown on the worksheet)</w:t>
            </w:r>
          </w:p>
        </w:tc>
        <w:tc>
          <w:tcPr>
            <w:tcW w:type="dxa" w:w="2268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>Correct number</w:t>
            </w:r>
          </w:p>
        </w:tc>
      </w:tr>
      <w:tr>
        <w:trPr>
          <w:cantSplit/>
        </w:trPr>
        <w:tc>
          <w:tcPr>
            <w:tcW w:type="dxa" w:w="6973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Box 1: The company ends the colour bar (28 August 1963)</w:t>
            </w:r>
          </w:p>
        </w:tc>
        <w:tc>
          <w:tcPr>
            <w:tcW w:type="dxa" w:w="2268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4</w:t>
            </w:r>
          </w:p>
        </w:tc>
      </w:tr>
      <w:tr>
        <w:trPr>
          <w:cantSplit/>
        </w:trPr>
        <w:tc>
          <w:tcPr>
            <w:tcW w:type="dxa" w:w="6973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Box 2: The bus company refuses to employ Black and Asian crews</w:t>
            </w:r>
          </w:p>
        </w:tc>
        <w:tc>
          <w:tcPr>
            <w:tcW w:type="dxa" w:w="2268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6973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Box 3: The Race Relations Act is passed (1965)</w:t>
            </w:r>
          </w:p>
        </w:tc>
        <w:tc>
          <w:tcPr>
            <w:tcW w:type="dxa" w:w="2268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5</w:t>
            </w:r>
          </w:p>
        </w:tc>
      </w:tr>
      <w:tr>
        <w:trPr>
          <w:cantSplit/>
        </w:trPr>
        <w:tc>
          <w:tcPr>
            <w:tcW w:type="dxa" w:w="6973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Box 4: Guy Bailey's interview is cancelled</w:t>
            </w:r>
          </w:p>
        </w:tc>
        <w:tc>
          <w:tcPr>
            <w:tcW w:type="dxa" w:w="2268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6973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Box 5: The boycott is announced (30 April 1963)</w:t>
            </w:r>
          </w:p>
        </w:tc>
        <w:tc>
          <w:tcPr>
            <w:tcW w:type="dxa" w:w="2268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3</w:t>
            </w:r>
          </w:p>
        </w:tc>
      </w:tr>
    </w:tbl>
    <w:p>
      <w:pPr>
        <w:spacing w:after="0" w:line="160" w:lineRule="exact"/>
      </w:pPr>
      <w:r>
        <w:rPr>
          <w:sz w:val="4"/>
        </w:rPr>
      </w:r>
    </w:p>
    <w:p>
      <w:pPr>
        <w:keepNext/>
        <w:spacing w:before="80" w:after="60"/>
      </w:pPr>
      <w:r>
        <w:rPr>
          <w:rFonts w:ascii="Aptos Display" w:hAnsi="Aptos Display"/>
          <w:b/>
          <w:i w:val="0"/>
          <w:color w:val="007A3D"/>
          <w:sz w:val="24"/>
        </w:rPr>
        <w:t>True or false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1417"/>
        <w:gridCol w:w="3855"/>
      </w:tblGrid>
      <w:tr>
        <w:trPr>
          <w:cantSplit/>
        </w:trPr>
        <w:tc>
          <w:tcPr>
            <w:tcW w:type="dxa" w:w="3969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>Statement</w:t>
            </w:r>
          </w:p>
        </w:tc>
        <w:tc>
          <w:tcPr>
            <w:tcW w:type="dxa" w:w="1417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>Answer</w:t>
            </w:r>
          </w:p>
        </w:tc>
        <w:tc>
          <w:tcPr>
            <w:tcW w:type="dxa" w:w="3855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>Why</w:t>
            </w:r>
          </w:p>
        </w:tc>
      </w:tr>
      <w:tr>
        <w:trPr>
          <w:cantSplit/>
        </w:trPr>
        <w:tc>
          <w:tcPr>
            <w:tcW w:type="dxa" w:w="3969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1. In 1963 it was already illegal to refuse someone a job because of their race.</w:t>
            </w:r>
          </w:p>
        </w:tc>
        <w:tc>
          <w:tcPr>
            <w:tcW w:type="dxa" w:w="141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FALSE</w:t>
            </w:r>
          </w:p>
        </w:tc>
        <w:tc>
          <w:tcPr>
            <w:tcW w:type="dxa" w:w="3855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The law only changed with the 1965 and 1968 Acts.</w:t>
            </w:r>
          </w:p>
        </w:tc>
      </w:tr>
      <w:tr>
        <w:trPr>
          <w:cantSplit/>
        </w:trPr>
        <w:tc>
          <w:tcPr>
            <w:tcW w:type="dxa" w:w="3969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2. A boycott means refusing to use something as a protest.</w:t>
            </w:r>
          </w:p>
        </w:tc>
        <w:tc>
          <w:tcPr>
            <w:tcW w:type="dxa" w:w="141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TRUE</w:t>
            </w:r>
          </w:p>
        </w:tc>
        <w:tc>
          <w:tcPr>
            <w:tcW w:type="dxa" w:w="3855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In 1963 people refused to ride Bristol's buses to protest the colour bar.</w:t>
            </w:r>
          </w:p>
        </w:tc>
      </w:tr>
      <w:tr>
        <w:trPr>
          <w:cantSplit/>
        </w:trPr>
        <w:tc>
          <w:tcPr>
            <w:tcW w:type="dxa" w:w="3969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3. Guy Bailey's interview was cancelled because he was Black.</w:t>
            </w:r>
          </w:p>
        </w:tc>
        <w:tc>
          <w:tcPr>
            <w:tcW w:type="dxa" w:w="141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TRUE</w:t>
            </w:r>
          </w:p>
        </w:tc>
        <w:tc>
          <w:tcPr>
            <w:tcW w:type="dxa" w:w="3855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This proved the colour bar existed.</w:t>
            </w:r>
          </w:p>
        </w:tc>
      </w:tr>
      <w:tr>
        <w:trPr>
          <w:cantSplit/>
        </w:trPr>
        <w:tc>
          <w:tcPr>
            <w:tcW w:type="dxa" w:w="3969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4. The boycott lasted about four years.</w:t>
            </w:r>
          </w:p>
        </w:tc>
        <w:tc>
          <w:tcPr>
            <w:tcW w:type="dxa" w:w="141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FALSE</w:t>
            </w:r>
          </w:p>
        </w:tc>
        <w:tc>
          <w:tcPr>
            <w:tcW w:type="dxa" w:w="3855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It lasted about four months.</w:t>
            </w:r>
          </w:p>
        </w:tc>
      </w:tr>
    </w:tbl>
    <w:p>
      <w:pPr>
        <w:spacing w:after="0" w:line="160" w:lineRule="exact"/>
      </w:pPr>
      <w:r>
        <w:rPr>
          <w:sz w:val="4"/>
        </w:rPr>
      </w:r>
    </w:p>
    <w:p>
      <w:pPr>
        <w:keepNext/>
        <w:spacing w:before="80" w:after="60"/>
      </w:pPr>
      <w:r>
        <w:rPr>
          <w:rFonts w:ascii="Aptos Display" w:hAnsi="Aptos Display"/>
          <w:b/>
          <w:i w:val="0"/>
          <w:color w:val="007A3D"/>
          <w:sz w:val="24"/>
        </w:rPr>
        <w:t>Fill the gaps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74"/>
        <w:gridCol w:w="2268"/>
      </w:tblGrid>
      <w:tr>
        <w:trPr>
          <w:cantSplit/>
        </w:trPr>
        <w:tc>
          <w:tcPr>
            <w:tcW w:type="dxa" w:w="6973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>Sentence</w:t>
            </w:r>
          </w:p>
        </w:tc>
        <w:tc>
          <w:tcPr>
            <w:tcW w:type="dxa" w:w="2268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6973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1. A rule keeping people out because of skin colour is a ______________.</w:t>
            </w:r>
          </w:p>
        </w:tc>
        <w:tc>
          <w:tcPr>
            <w:tcW w:type="dxa" w:w="2268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colour bar</w:t>
            </w:r>
          </w:p>
        </w:tc>
      </w:tr>
      <w:tr>
        <w:trPr>
          <w:cantSplit/>
        </w:trPr>
        <w:tc>
          <w:tcPr>
            <w:tcW w:type="dxa" w:w="6973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2. Paul ______________ was the campaign's spokesperson.</w:t>
            </w:r>
          </w:p>
        </w:tc>
        <w:tc>
          <w:tcPr>
            <w:tcW w:type="dxa" w:w="2268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Stephenson</w:t>
            </w:r>
          </w:p>
        </w:tc>
      </w:tr>
      <w:tr>
        <w:trPr>
          <w:cantSplit/>
        </w:trPr>
        <w:tc>
          <w:tcPr>
            <w:tcW w:type="dxa" w:w="6973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3. People refused to use the buses: this was a ______________.</w:t>
            </w:r>
          </w:p>
        </w:tc>
        <w:tc>
          <w:tcPr>
            <w:tcW w:type="dxa" w:w="2268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boycott</w:t>
            </w:r>
          </w:p>
        </w:tc>
      </w:tr>
      <w:tr>
        <w:trPr>
          <w:cantSplit/>
        </w:trPr>
        <w:tc>
          <w:tcPr>
            <w:tcW w:type="dxa" w:w="6973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4. Raghbir Singh became Bristol's first non-white bus ______________.</w:t>
            </w:r>
          </w:p>
        </w:tc>
        <w:tc>
          <w:tcPr>
            <w:tcW w:type="dxa" w:w="2268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conductor</w:t>
            </w:r>
          </w:p>
        </w:tc>
      </w:tr>
      <w:tr>
        <w:trPr>
          <w:cantSplit/>
        </w:trPr>
        <w:tc>
          <w:tcPr>
            <w:tcW w:type="dxa" w:w="6973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5. The first Race Relations Act was passed in ______________.</w:t>
            </w:r>
          </w:p>
        </w:tc>
        <w:tc>
          <w:tcPr>
            <w:tcW w:type="dxa" w:w="2268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1965</w:t>
            </w:r>
          </w:p>
        </w:tc>
      </w:tr>
    </w:tbl>
    <w:p>
      <w:pPr>
        <w:spacing w:after="0" w:line="160" w:lineRule="exact"/>
      </w:pPr>
      <w:r>
        <w:rPr>
          <w:sz w:val="4"/>
        </w:rPr>
      </w:r>
    </w:p>
    <w:p>
      <w:pPr>
        <w:keepNext/>
        <w:pBdr>
          <w:top w:val="single" w:sz="4" w:space="4" w:color="CE1126"/>
          <w:left w:val="single" w:sz="4" w:space="6" w:color="CE1126"/>
          <w:bottom w:val="single" w:sz="4" w:space="4" w:color="CE1126"/>
          <w:right w:val="single" w:sz="4" w:space="6" w:color="CE1126"/>
        </w:pBdr>
        <w:shd w:val="clear" w:color="auto" w:fill="CE1126"/>
        <w:spacing w:before="200" w:after="120"/>
        <w:ind w:left="68" w:right="68"/>
      </w:pPr>
      <w:r>
        <w:rPr>
          <w:rFonts w:ascii="Aptos Display" w:hAnsi="Aptos Display"/>
          <w:b/>
          <w:i w:val="0"/>
          <w:color w:val="FFFFFF"/>
          <w:sz w:val="27"/>
        </w:rPr>
        <w:t>7.  Sensitivity &amp; Safeguarding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42"/>
      </w:tblGrid>
      <w:tr>
        <w:trPr>
          <w:cantSplit/>
        </w:trPr>
        <w:tc>
          <w:tcPr>
            <w:tcW w:type="dxa" w:w="9241"/>
            <w:tcBorders>
              <w:top w:val="nil"/>
              <w:left w:val="single" w:sz="36" w:space="0" w:color="CE1126"/>
              <w:bottom w:val="nil"/>
              <w:right w:val="nil"/>
            </w:tcBorders>
            <w:shd w:val="clear" w:color="auto" w:fill="FBE4E7"/>
            <w:tcMar>
              <w:top w:w="110" w:type="dxa"/>
              <w:left w:w="220" w:type="dxa"/>
              <w:bottom w:w="110" w:type="dxa"/>
              <w:right w:w="180" w:type="dxa"/>
            </w:tcMar>
          </w:tcPr>
          <w:p>
            <w:pPr>
              <w:spacing w:after="60"/>
            </w:pPr>
            <w:r>
              <w:rPr>
                <w:rFonts w:ascii="Aptos" w:hAnsi="Aptos"/>
                <w:b/>
                <w:i w:val="0"/>
                <w:color w:val="CE1126"/>
                <w:sz w:val="19"/>
              </w:rPr>
              <w:t>BEFORE YOU DELIVER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Students may have faced discrimination themselves. Validate their experiences and point them to support. If they describe discrimination at school, follow up in line with your policies.</w:t>
            </w:r>
          </w:p>
        </w:tc>
      </w:tr>
    </w:tbl>
    <w:p>
      <w:pPr>
        <w:spacing w:after="0" w:line="160" w:lineRule="exact"/>
      </w:pPr>
      <w:r>
        <w:rPr>
          <w:sz w:val="4"/>
        </w:rPr>
      </w:r>
    </w:p>
    <w:p>
      <w:pPr>
        <w:spacing w:before="0" w:after="120"/>
      </w:pPr>
      <w:r>
        <w:rPr>
          <w:rFonts w:ascii="Aptos" w:hAnsi="Aptos"/>
          <w:b w:val="0"/>
          <w:i/>
          <w:color w:val="5E5E5E"/>
          <w:sz w:val="20"/>
        </w:rPr>
        <w:t>Follow your setting's safeguarding policy. If a student makes a disclosure, stay calm, listen, do not promise confidentiality, and report it to the Designated Safeguarding Lead.</w:t>
      </w:r>
    </w:p>
    <w:p>
      <w:pPr>
        <w:keepNext/>
        <w:pBdr>
          <w:top w:val="single" w:sz="4" w:space="4" w:color="E8A800"/>
          <w:left w:val="single" w:sz="4" w:space="6" w:color="E8A800"/>
          <w:bottom w:val="single" w:sz="4" w:space="4" w:color="E8A800"/>
          <w:right w:val="single" w:sz="4" w:space="6" w:color="E8A800"/>
        </w:pBdr>
        <w:shd w:val="clear" w:color="auto" w:fill="E8A800"/>
        <w:spacing w:before="200" w:after="120"/>
        <w:ind w:left="68" w:right="68"/>
      </w:pPr>
      <w:r>
        <w:rPr>
          <w:rFonts w:ascii="Aptos Display" w:hAnsi="Aptos Display"/>
          <w:b/>
          <w:i w:val="0"/>
          <w:color w:val="1A1A1A"/>
          <w:sz w:val="27"/>
        </w:rPr>
        <w:t>8.  Extension Ideas</w:t>
      </w:r>
    </w:p>
    <w:p>
      <w:pPr>
        <w:keepNext/>
        <w:spacing w:after="60"/>
        <w:ind w:left="454" w:hanging="255"/>
      </w:pPr>
      <w:r>
        <w:rPr>
          <w:rFonts w:ascii="Aptos" w:hAnsi="Aptos"/>
          <w:b/>
          <w:i w:val="0"/>
          <w:color w:val="007A3D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>Research the Montgomery Bus Boycott and compare it with Bristol.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007A3D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>Design a campaign plan for a change you want to see in your school or community.</w:t>
      </w:r>
    </w:p>
    <w:sectPr w:rsidR="00801974" w:rsidSect="00C163C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2409" w:right="1502" w:bottom="2324" w:left="1502" w:header="1219" w:footer="119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59445F" w14:textId="77777777" w:rsidR="00705984" w:rsidRDefault="00705984">
      <w:r>
        <w:separator/>
      </w:r>
    </w:p>
  </w:endnote>
  <w:endnote w:type="continuationSeparator" w:id="0">
    <w:p w14:paraId="49892987" w14:textId="77777777" w:rsidR="00705984" w:rsidRDefault="007059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AE0AD" w14:textId="77777777" w:rsidR="00ED6CAE" w:rsidRDefault="00ED6CA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86F305" w14:textId="77777777" w:rsidR="00C163CE" w:rsidRDefault="00C163CE">
    <w:pPr>
      <w:pBdr>
        <w:top w:val="single" w:sz="4" w:space="6" w:color="E8A800"/>
      </w:pBdr>
      <w:jc w:val="center"/>
    </w:pPr>
    <w:r>
      <w:rPr>
        <w:noProof/>
      </w:rPr>
      <w:drawing>
        <wp:inline distT="0" distB="0" distL="0" distR="0" wp14:anchorId="3C25B8CB" wp14:editId="0E2F2382">
          <wp:extent cx="2857500" cy="352425"/>
          <wp:effectExtent l="0" t="0" r="0" b="0"/>
          <wp:docPr id="806613884" name="Picture 80661388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0" cy="352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73089FF" w14:textId="154D1D0A" w:rsidR="002D7275" w:rsidRDefault="002D7275" w:rsidP="002D7275">
    <w:pPr>
      <w:jc w:val="center"/>
    </w:pPr>
    <w:r>
      <w:rPr>
        <w:b/>
        <w:bCs/>
        <w:color w:val="1A1A1A"/>
      </w:rPr>
      <w:fldChar w:fldCharType="begin"/>
    </w:r>
    <w:r>
      <w:rPr>
        <w:b/>
        <w:bCs/>
        <w:color w:val="1A1A1A"/>
      </w:rPr>
      <w:instrText xml:space="preserve"> PAGE  \* MERGEFORMAT </w:instrText>
    </w:r>
    <w:r>
      <w:rPr>
        <w:b/>
        <w:bCs/>
        <w:color w:val="1A1A1A"/>
      </w:rPr>
      <w:fldChar w:fldCharType="separate"/>
    </w:r>
    <w:r>
      <w:rPr>
        <w:b/>
        <w:bCs/>
        <w:color w:val="1A1A1A"/>
        <w:noProof/>
      </w:rPr>
      <w:t>2</w:t>
    </w:r>
    <w:r>
      <w:rPr>
        <w:b/>
        <w:bCs/>
        <w:color w:val="1A1A1A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6D224" w14:textId="77777777" w:rsidR="00ED6CAE" w:rsidRDefault="00ED6CA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B047AA" w14:textId="77777777" w:rsidR="00705984" w:rsidRDefault="00705984">
      <w:r>
        <w:separator/>
      </w:r>
    </w:p>
  </w:footnote>
  <w:footnote w:type="continuationSeparator" w:id="0">
    <w:p w14:paraId="222E377A" w14:textId="77777777" w:rsidR="00705984" w:rsidRDefault="007059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15E01" w14:textId="77777777" w:rsidR="00ED6CAE" w:rsidRDefault="00ED6CA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spacing w:before="0" w:after="0" w:line="20" w:lineRule="exact"/>
      <w:rPr>
        <w:sz w:val="2"/>
      </w:rPr>
    </w:pPr>
    <w:r>
      <w:rPr>
        <w:noProof/>
        <w:sz w:val="2"/>
      </w:rPr>
      <w:drawing>
        <wp:anchor distT="0" distB="0" distL="0" distR="0" simplePos="0" relativeHeight="251650000" behindDoc="1" locked="1" layoutInCell="0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772400" cy="10058400"/>
          <wp:effectExtent l="0" t="0" r="0" b="0"/>
          <wp:wrapNone/>
          <wp:docPr id="900" name="Black History Month Flag Borde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0" name="bhm_border.png"/>
                  <pic:cNvPicPr/>
                </pic:nvPicPr>
                <pic:blipFill>
                  <a:blip r:embed="rId9"/>
                  <a:stretch>
                    <a:fillRect/>
                  </a:stretch>
                </pic:blipFill>
                <pic:spPr>
                  <a:xfrm>
                    <a:off x="0" y="0"/>
                    <a:ext cx="7772400" cy="10058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tbl>
    <w:tblPr>
      <w:tblW w:w="0" w:type="auto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650"/>
      <w:gridCol w:w="4650"/>
    </w:tblGrid>
    <w:tr w:rsidR="00C163CE" w14:paraId="03713D86" w14:textId="77777777">
      <w:tc>
        <w:tcPr>
          <w:tcW w:w="4650" w:type="dxa"/>
        </w:tcPr>
        <w:p w14:paraId="1D9B41ED" w14:textId="77777777" w:rsidR="00C163CE" w:rsidRDefault="00C163CE">
          <w:r>
            <w:rPr>
              <w:noProof/>
            </w:rPr>
            <w:drawing>
              <wp:inline distT="0" distB="0" distL="0" distR="0" wp14:anchorId="2A51E89E" wp14:editId="2355ABF3">
                <wp:extent cx="1335167" cy="638175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teps_to_success_logo_trimmed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5167" cy="638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650" w:type="dxa"/>
        </w:tcPr>
        <w:p w14:paraId="683CE6DB" w14:textId="77777777" w:rsidR="00C163CE" w:rsidRDefault="00C163CE">
          <w:pPr>
            <w:jc w:val="right"/>
          </w:pPr>
          <w:r>
            <w:rPr>
              <w:noProof/>
            </w:rPr>
            <w:drawing>
              <wp:inline distT="0" distB="0" distL="0" distR="0" wp14:anchorId="28B245BF" wp14:editId="5A2A7A44">
                <wp:extent cx="773742" cy="638175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73742" cy="638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C907F2" w14:textId="77777777" w:rsidR="00ED6CAE" w:rsidRDefault="00ED6CA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615B53"/>
    <w:multiLevelType w:val="hybridMultilevel"/>
    <w:tmpl w:val="1038860E"/>
    <w:lvl w:ilvl="0" w:tplc="46F4710A">
      <w:start w:val="1"/>
      <w:numFmt w:val="bullet"/>
      <w:lvlText w:val="●"/>
      <w:lvlJc w:val="left"/>
      <w:pPr>
        <w:ind w:left="720" w:hanging="360"/>
      </w:pPr>
    </w:lvl>
    <w:lvl w:ilvl="1" w:tplc="EBAA920E">
      <w:start w:val="1"/>
      <w:numFmt w:val="bullet"/>
      <w:lvlText w:val="○"/>
      <w:lvlJc w:val="left"/>
      <w:pPr>
        <w:ind w:left="1440" w:hanging="360"/>
      </w:pPr>
    </w:lvl>
    <w:lvl w:ilvl="2" w:tplc="A9826FD8">
      <w:start w:val="1"/>
      <w:numFmt w:val="bullet"/>
      <w:lvlText w:val="■"/>
      <w:lvlJc w:val="left"/>
      <w:pPr>
        <w:ind w:left="2160" w:hanging="360"/>
      </w:pPr>
    </w:lvl>
    <w:lvl w:ilvl="3" w:tplc="3F20FCCE">
      <w:start w:val="1"/>
      <w:numFmt w:val="bullet"/>
      <w:lvlText w:val="●"/>
      <w:lvlJc w:val="left"/>
      <w:pPr>
        <w:ind w:left="2880" w:hanging="360"/>
      </w:pPr>
    </w:lvl>
    <w:lvl w:ilvl="4" w:tplc="F4AE40A8">
      <w:start w:val="1"/>
      <w:numFmt w:val="bullet"/>
      <w:lvlText w:val="○"/>
      <w:lvlJc w:val="left"/>
      <w:pPr>
        <w:ind w:left="3600" w:hanging="360"/>
      </w:pPr>
    </w:lvl>
    <w:lvl w:ilvl="5" w:tplc="E012D494">
      <w:start w:val="1"/>
      <w:numFmt w:val="bullet"/>
      <w:lvlText w:val="■"/>
      <w:lvlJc w:val="left"/>
      <w:pPr>
        <w:ind w:left="4320" w:hanging="360"/>
      </w:pPr>
    </w:lvl>
    <w:lvl w:ilvl="6" w:tplc="EA624976">
      <w:start w:val="1"/>
      <w:numFmt w:val="bullet"/>
      <w:lvlText w:val="●"/>
      <w:lvlJc w:val="left"/>
      <w:pPr>
        <w:ind w:left="5040" w:hanging="360"/>
      </w:pPr>
    </w:lvl>
    <w:lvl w:ilvl="7" w:tplc="8B6AC624">
      <w:start w:val="1"/>
      <w:numFmt w:val="bullet"/>
      <w:lvlText w:val="●"/>
      <w:lvlJc w:val="left"/>
      <w:pPr>
        <w:ind w:left="5760" w:hanging="360"/>
      </w:pPr>
    </w:lvl>
    <w:lvl w:ilvl="8" w:tplc="02665E32">
      <w:start w:val="1"/>
      <w:numFmt w:val="bullet"/>
      <w:lvlText w:val="●"/>
      <w:lvlJc w:val="left"/>
      <w:pPr>
        <w:ind w:left="6480" w:hanging="360"/>
      </w:pPr>
    </w:lvl>
  </w:abstractNum>
  <w:num w:numId="1" w16cid:durableId="15975975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6793"/>
    <w:rsid w:val="00021767"/>
    <w:rsid w:val="00246793"/>
    <w:rsid w:val="002D7275"/>
    <w:rsid w:val="0031108E"/>
    <w:rsid w:val="00705984"/>
    <w:rsid w:val="00801974"/>
    <w:rsid w:val="008E0CD5"/>
    <w:rsid w:val="00956606"/>
    <w:rsid w:val="00A14FAF"/>
    <w:rsid w:val="00B349D1"/>
    <w:rsid w:val="00C163CE"/>
    <w:rsid w:val="00C400A5"/>
    <w:rsid w:val="00ED6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C67ACC"/>
  <w15:docId w15:val="{6D1B472D-CE2F-4031-A175-A94E0196F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/>
      <w:color w:val="1A1A1A"/>
      <w:sz w:val="20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D6CA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D6CAE"/>
  </w:style>
  <w:style w:type="paragraph" w:styleId="Footer">
    <w:name w:val="footer"/>
    <w:basedOn w:val="Normal"/>
    <w:link w:val="FooterChar"/>
    <w:uiPriority w:val="99"/>
    <w:unhideWhenUsed/>
    <w:rsid w:val="00ED6CA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D6C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3.jp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419</Words>
  <Characters>2390</Characters>
  <Application>Microsoft Office Word</Application>
  <DocSecurity>0</DocSecurity>
  <Lines>19</Lines>
  <Paragraphs>5</Paragraphs>
  <ScaleCrop>false</ScaleCrop>
  <Company/>
  <LinksUpToDate>false</LinksUpToDate>
  <CharactersWithSpaces>2804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>Corrected Week 1 delivery-ready activity material</dc:subject>
  <dc:creator>Un-named</dc:creator>
  <cp:keywords>steps_to_success_logo_added</cp:keywords>
  <dc:description>Activity alignment, age-tiering and multimodal response corrections.</dc:description>
  <cp:lastModifiedBy>Levi AP</cp:lastModifiedBy>
  <cp:revision>5</cp:revision>
  <dcterms:created xsi:type="dcterms:W3CDTF">2026-08-12T22:05:00Z</dcterms:created>
  <dcterms:modified xsi:type="dcterms:W3CDTF">2026-09-02T23:04:00Z</dcterms:modified>
</cp:coreProperties>
</file>