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3207" w14:textId="619901B2" w:rsidR="007B46A1" w:rsidRPr="007B46A1" w:rsidRDefault="007B46A1" w:rsidP="00EF0BD2">
      <w:pPr>
        <w:jc w:val="both"/>
        <w:rPr>
          <w:rFonts w:ascii="Georgia" w:hAnsi="Georgia"/>
          <w:b/>
          <w:bCs/>
          <w:sz w:val="24"/>
          <w:szCs w:val="24"/>
        </w:rPr>
      </w:pPr>
      <w:bookmarkStart w:id="0" w:name="_Hlk161828143"/>
      <w:r w:rsidRPr="007B46A1">
        <w:rPr>
          <w:rFonts w:ascii="Georgia" w:hAnsi="Georgia"/>
          <w:b/>
          <w:bCs/>
          <w:sz w:val="24"/>
          <w:szCs w:val="24"/>
        </w:rPr>
        <w:t>Organic Fertilizers Market</w:t>
      </w:r>
      <w:r>
        <w:rPr>
          <w:rFonts w:ascii="Georgia" w:hAnsi="Georgia"/>
          <w:b/>
          <w:bCs/>
          <w:sz w:val="24"/>
          <w:szCs w:val="24"/>
        </w:rPr>
        <w:t xml:space="preserve"> </w:t>
      </w:r>
      <w:r>
        <w:rPr>
          <w:rStyle w:val="Strong"/>
          <w:rFonts w:ascii="Segoe UI" w:hAnsi="Segoe UI" w:cs="Segoe UI"/>
          <w:color w:val="1F2328"/>
          <w:shd w:val="clear" w:color="auto" w:fill="FFFFFF"/>
        </w:rPr>
        <w:t>Size Growth &amp; Analysis</w:t>
      </w:r>
    </w:p>
    <w:bookmarkEnd w:id="0"/>
    <w:p w14:paraId="4C3069B1" w14:textId="1F67B4AD" w:rsidR="000A1626" w:rsidRDefault="000A1626" w:rsidP="000A1626">
      <w:pPr>
        <w:pStyle w:val="pb-2"/>
        <w:spacing w:line="360" w:lineRule="auto"/>
        <w:jc w:val="both"/>
        <w:rPr>
          <w:rFonts w:ascii="Georgia" w:hAnsi="Georgia"/>
        </w:rPr>
      </w:pPr>
      <w:r>
        <w:rPr>
          <w:rFonts w:ascii="Georgia" w:hAnsi="Georgia"/>
        </w:rPr>
        <w:t xml:space="preserve">A </w:t>
      </w:r>
      <w:r>
        <w:rPr>
          <w:rStyle w:val="issue-underline"/>
          <w:rFonts w:ascii="Georgia" w:hAnsi="Georgia"/>
        </w:rPr>
        <w:t>comprehensive</w:t>
      </w:r>
      <w:r>
        <w:rPr>
          <w:rFonts w:ascii="Georgia" w:hAnsi="Georgia"/>
        </w:rPr>
        <w:t xml:space="preserve"> analysis of the </w:t>
      </w:r>
      <w:hyperlink r:id="rId5" w:history="1">
        <w:r w:rsidR="0017485C" w:rsidRPr="007B46A1">
          <w:rPr>
            <w:rStyle w:val="Hyperlink"/>
            <w:rFonts w:ascii="Georgia" w:hAnsi="Georgia"/>
            <w:b/>
            <w:bCs/>
          </w:rPr>
          <w:t>Organic Fertilizers Market</w:t>
        </w:r>
      </w:hyperlink>
      <w:r>
        <w:rPr>
          <w:rFonts w:ascii="Georgia" w:hAnsi="Georgia"/>
        </w:rPr>
        <w:t xml:space="preserve"> Size, Share, Latest Trends, and Growth Research Report </w:t>
      </w:r>
      <w:r w:rsidR="0017485C">
        <w:rPr>
          <w:rFonts w:ascii="Georgia" w:hAnsi="Georgia"/>
        </w:rPr>
        <w:t>2024-2036</w:t>
      </w:r>
      <w:r>
        <w:rPr>
          <w:rFonts w:ascii="Georgia" w:hAnsi="Georgia"/>
        </w:rPr>
        <w:t xml:space="preserve"> </w:t>
      </w:r>
      <w:r>
        <w:rPr>
          <w:rStyle w:val="issue-underline"/>
          <w:rFonts w:ascii="Georgia" w:hAnsi="Georgia"/>
        </w:rPr>
        <w:t>provides</w:t>
      </w:r>
      <w:r>
        <w:rPr>
          <w:rFonts w:ascii="Georgia" w:hAnsi="Georgia"/>
        </w:rPr>
        <w:t xml:space="preserve"> an accurate overview and thorough analysis of the market industries in the present and the future. This report provides a comprehensive overview of the market, including current market trends, future projections, and an in-depth analysis of the major players in the industry. It provides a comprehensive overview of the market, including current market trends, future projections, and an in-depth analysis of the major players in the industry.</w:t>
      </w:r>
    </w:p>
    <w:p w14:paraId="785381D7" w14:textId="77777777" w:rsidR="000A1626" w:rsidRDefault="000A1626" w:rsidP="000A1626">
      <w:pPr>
        <w:pStyle w:val="pb-2"/>
        <w:spacing w:line="360" w:lineRule="auto"/>
        <w:jc w:val="both"/>
        <w:rPr>
          <w:rFonts w:ascii="Georgia" w:hAnsi="Georgia"/>
        </w:rPr>
      </w:pPr>
      <w:r>
        <w:rPr>
          <w:rFonts w:ascii="Georgia" w:hAnsi="Georgia"/>
        </w:rPr>
        <w:t xml:space="preserve">Report findings provide valuable insights into how businesses can capitalize on the opportunities provided by these dynamic market factors. It also provides a comprehensive overview of the major players in the industry, including their product offerings, contact and income information, and value chain optimization strategies. Furthermore, it offers an in-depth analysis of the leading businesses in the industry based solely on the strength of their business plans, product descriptions, and business strategies. </w:t>
      </w:r>
    </w:p>
    <w:p w14:paraId="36A90D71" w14:textId="77777777" w:rsidR="000A1626" w:rsidRDefault="000A1626" w:rsidP="000A1626">
      <w:pPr>
        <w:spacing w:before="100" w:beforeAutospacing="1" w:after="100" w:afterAutospacing="1" w:line="360" w:lineRule="auto"/>
        <w:jc w:val="both"/>
        <w:rPr>
          <w:rFonts w:ascii="Georgia" w:eastAsia="Times New Roman" w:hAnsi="Georgia" w:cs="Times New Roman"/>
          <w:b/>
          <w:bCs/>
          <w:sz w:val="24"/>
          <w:szCs w:val="24"/>
        </w:rPr>
      </w:pPr>
      <w:r>
        <w:rPr>
          <w:rFonts w:ascii="Georgia" w:eastAsia="Times New Roman" w:hAnsi="Georgia" w:cs="Times New Roman"/>
          <w:b/>
          <w:bCs/>
          <w:sz w:val="24"/>
          <w:szCs w:val="24"/>
        </w:rPr>
        <w:t>Key Findings</w:t>
      </w:r>
    </w:p>
    <w:p w14:paraId="0E75771A" w14:textId="7B58E9DE" w:rsidR="000A1626" w:rsidRDefault="0017485C" w:rsidP="000A1626">
      <w:pPr>
        <w:pStyle w:val="NormalWeb"/>
        <w:numPr>
          <w:ilvl w:val="0"/>
          <w:numId w:val="17"/>
        </w:numPr>
        <w:spacing w:line="360" w:lineRule="auto"/>
        <w:jc w:val="both"/>
        <w:rPr>
          <w:rFonts w:ascii="Georgia" w:hAnsi="Georgia"/>
        </w:rPr>
      </w:pPr>
      <w:r w:rsidRPr="0017485C">
        <w:rPr>
          <w:rFonts w:ascii="Georgia" w:hAnsi="Georgia"/>
        </w:rPr>
        <w:t>Organic Fertilizers Market</w:t>
      </w:r>
      <w:r w:rsidR="000A1626">
        <w:rPr>
          <w:rFonts w:ascii="Georgia" w:hAnsi="Georgia"/>
        </w:rPr>
        <w:t xml:space="preserve"> has experienced significant growth in recent years, driven by factors such as increasing consumer demand and technological advancements.</w:t>
      </w:r>
    </w:p>
    <w:p w14:paraId="4B66EC1F" w14:textId="18392C50" w:rsidR="000A1626" w:rsidRDefault="000A1626" w:rsidP="000A1626">
      <w:pPr>
        <w:pStyle w:val="NormalWeb"/>
        <w:numPr>
          <w:ilvl w:val="0"/>
          <w:numId w:val="17"/>
        </w:numPr>
        <w:spacing w:line="360" w:lineRule="auto"/>
        <w:jc w:val="both"/>
        <w:rPr>
          <w:rFonts w:ascii="Georgia" w:hAnsi="Georgia"/>
        </w:rPr>
      </w:pPr>
      <w:r>
        <w:rPr>
          <w:rFonts w:ascii="Georgia" w:hAnsi="Georgia"/>
        </w:rPr>
        <w:t xml:space="preserve">The market segmentation analysis revealed several key segments, including </w:t>
      </w:r>
      <w:proofErr w:type="gramStart"/>
      <w:r w:rsidR="0017485C" w:rsidRPr="0017485C">
        <w:rPr>
          <w:rFonts w:ascii="Georgia" w:hAnsi="Georgia"/>
        </w:rPr>
        <w:t>Source,  Crop</w:t>
      </w:r>
      <w:proofErr w:type="gramEnd"/>
      <w:r w:rsidR="0017485C" w:rsidRPr="0017485C">
        <w:rPr>
          <w:rFonts w:ascii="Georgia" w:hAnsi="Georgia"/>
        </w:rPr>
        <w:t xml:space="preserve"> Type, Nutrient Content</w:t>
      </w:r>
      <w:r w:rsidR="0017485C">
        <w:rPr>
          <w:rFonts w:ascii="Georgia" w:hAnsi="Georgia"/>
        </w:rPr>
        <w:t xml:space="preserve"> </w:t>
      </w:r>
      <w:r>
        <w:rPr>
          <w:rFonts w:ascii="Georgia" w:hAnsi="Georgia"/>
        </w:rPr>
        <w:t>each with unique characteristics and growth potential.</w:t>
      </w:r>
    </w:p>
    <w:p w14:paraId="467D4CA2" w14:textId="7E0318CC" w:rsidR="000A1626" w:rsidRDefault="000A1626" w:rsidP="000A1626">
      <w:pPr>
        <w:pStyle w:val="NormalWeb"/>
        <w:numPr>
          <w:ilvl w:val="0"/>
          <w:numId w:val="17"/>
        </w:numPr>
        <w:spacing w:line="360" w:lineRule="auto"/>
        <w:jc w:val="both"/>
        <w:rPr>
          <w:rFonts w:ascii="Georgia" w:hAnsi="Georgia"/>
        </w:rPr>
      </w:pPr>
      <w:r>
        <w:rPr>
          <w:rFonts w:ascii="Georgia" w:hAnsi="Georgia"/>
        </w:rPr>
        <w:t xml:space="preserve">Regional analysis highlighted the strong performance of </w:t>
      </w:r>
      <w:r w:rsidR="0017485C" w:rsidRPr="0017485C">
        <w:rPr>
          <w:rFonts w:ascii="Georgia" w:hAnsi="Georgia"/>
        </w:rPr>
        <w:t>Organic Fertilizers Market</w:t>
      </w:r>
      <w:r w:rsidR="0017485C">
        <w:rPr>
          <w:rFonts w:ascii="Georgia" w:hAnsi="Georgia"/>
        </w:rPr>
        <w:t xml:space="preserve"> </w:t>
      </w:r>
      <w:r>
        <w:rPr>
          <w:rFonts w:ascii="Georgia" w:hAnsi="Georgia"/>
        </w:rPr>
        <w:t>in regions such as North America, Europe, and Asia-Pacific, with emerging markets showing promising growth opportunities.</w:t>
      </w:r>
    </w:p>
    <w:p w14:paraId="4FF1C7DB" w14:textId="016A6526"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b/>
          <w:bCs/>
          <w:sz w:val="24"/>
          <w:szCs w:val="24"/>
        </w:rPr>
        <w:t xml:space="preserve">Analyzing the </w:t>
      </w:r>
      <w:r w:rsidR="0017485C" w:rsidRPr="0017485C">
        <w:rPr>
          <w:rFonts w:ascii="Georgia" w:eastAsia="Times New Roman" w:hAnsi="Georgia" w:cs="Times New Roman"/>
          <w:b/>
          <w:bCs/>
          <w:sz w:val="24"/>
          <w:szCs w:val="24"/>
        </w:rPr>
        <w:t>Organic Fertilizers Market</w:t>
      </w:r>
    </w:p>
    <w:p w14:paraId="098CF0B5" w14:textId="1858020F"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lastRenderedPageBreak/>
        <w:t xml:space="preserve">A thorough understanding of the </w:t>
      </w:r>
      <w:r w:rsidR="0017485C" w:rsidRPr="0017485C">
        <w:rPr>
          <w:rFonts w:ascii="Georgia" w:eastAsia="Times New Roman" w:hAnsi="Georgia" w:cs="Times New Roman"/>
          <w:sz w:val="24"/>
          <w:szCs w:val="24"/>
        </w:rPr>
        <w:t>Organic Fertilizers Market</w:t>
      </w:r>
      <w:r w:rsidR="0017485C">
        <w:rPr>
          <w:rFonts w:ascii="Georgia" w:eastAsia="Times New Roman" w:hAnsi="Georgia" w:cs="Times New Roman"/>
          <w:sz w:val="24"/>
          <w:szCs w:val="24"/>
        </w:rPr>
        <w:t xml:space="preserve"> </w:t>
      </w:r>
      <w:r>
        <w:rPr>
          <w:rFonts w:ascii="Georgia" w:eastAsia="Times New Roman" w:hAnsi="Georgia" w:cs="Times New Roman"/>
          <w:sz w:val="24"/>
          <w:szCs w:val="24"/>
        </w:rPr>
        <w:t>will provide businesses with opportunities for growth such as customer acquisition, enhancements to their services, and strategic expansions.</w:t>
      </w:r>
    </w:p>
    <w:p w14:paraId="7EFB028D"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By incorporating market intelligence into their operations, businesses can anticipate changes in the economy, assess the effect these factors may have on their operations, and create plans to counteract any negative effects.</w:t>
      </w:r>
    </w:p>
    <w:p w14:paraId="05F65610" w14:textId="604EAC60" w:rsidR="0017485C" w:rsidRDefault="0017485C" w:rsidP="000A1626">
      <w:pPr>
        <w:spacing w:before="100" w:beforeAutospacing="1" w:after="100" w:afterAutospacing="1" w:line="360" w:lineRule="auto"/>
        <w:jc w:val="both"/>
        <w:rPr>
          <w:rFonts w:ascii="Georgia" w:eastAsia="Times New Roman" w:hAnsi="Georgia" w:cs="Times New Roman"/>
          <w:b/>
          <w:bCs/>
          <w:sz w:val="24"/>
          <w:szCs w:val="24"/>
        </w:rPr>
      </w:pPr>
      <w:r w:rsidRPr="0017485C">
        <w:rPr>
          <w:rFonts w:ascii="Georgia" w:eastAsia="Times New Roman" w:hAnsi="Georgia" w:cs="Times New Roman"/>
          <w:b/>
          <w:bCs/>
          <w:sz w:val="24"/>
          <w:szCs w:val="24"/>
        </w:rPr>
        <w:t>Request Report Sample@</w:t>
      </w:r>
    </w:p>
    <w:p w14:paraId="070C26C4" w14:textId="11CED77E" w:rsidR="0017485C" w:rsidRPr="0017485C" w:rsidRDefault="0017485C" w:rsidP="000A1626">
      <w:pPr>
        <w:spacing w:before="100" w:beforeAutospacing="1" w:after="100" w:afterAutospacing="1" w:line="360" w:lineRule="auto"/>
        <w:jc w:val="both"/>
        <w:rPr>
          <w:rFonts w:ascii="Georgia" w:eastAsia="Times New Roman" w:hAnsi="Georgia" w:cs="Times New Roman"/>
          <w:b/>
          <w:bCs/>
          <w:sz w:val="24"/>
          <w:szCs w:val="24"/>
        </w:rPr>
      </w:pPr>
      <w:hyperlink r:id="rId6" w:history="1">
        <w:r w:rsidRPr="00574B97">
          <w:rPr>
            <w:rStyle w:val="Hyperlink"/>
            <w:rFonts w:ascii="Georgia" w:eastAsia="Times New Roman" w:hAnsi="Georgia" w:cs="Times New Roman"/>
            <w:b/>
            <w:bCs/>
            <w:sz w:val="24"/>
            <w:szCs w:val="24"/>
          </w:rPr>
          <w:t>https://www.researchnester.com/sample-request-446</w:t>
        </w:r>
      </w:hyperlink>
      <w:r>
        <w:rPr>
          <w:rFonts w:ascii="Georgia" w:eastAsia="Times New Roman" w:hAnsi="Georgia" w:cs="Times New Roman"/>
          <w:b/>
          <w:bCs/>
          <w:sz w:val="24"/>
          <w:szCs w:val="24"/>
        </w:rPr>
        <w:t xml:space="preserve"> </w:t>
      </w:r>
    </w:p>
    <w:p w14:paraId="7E9DE144"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Market intelligence helps organizations stay ahead of the curve through insights into consumer behavior, technological advancements, and competitive dynamics.</w:t>
      </w:r>
    </w:p>
    <w:p w14:paraId="09D7EC43" w14:textId="7230E28B"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 xml:space="preserve">Using </w:t>
      </w:r>
      <w:r w:rsidR="0017485C" w:rsidRPr="0017485C">
        <w:rPr>
          <w:rFonts w:ascii="Georgia" w:eastAsia="Times New Roman" w:hAnsi="Georgia" w:cs="Times New Roman"/>
          <w:sz w:val="24"/>
          <w:szCs w:val="24"/>
        </w:rPr>
        <w:t>Organic Fertilizers Market</w:t>
      </w:r>
      <w:r w:rsidR="0017485C">
        <w:rPr>
          <w:rFonts w:ascii="Georgia" w:eastAsia="Times New Roman" w:hAnsi="Georgia" w:cs="Times New Roman"/>
          <w:sz w:val="24"/>
          <w:szCs w:val="24"/>
        </w:rPr>
        <w:t xml:space="preserve"> </w:t>
      </w:r>
      <w:r>
        <w:rPr>
          <w:rFonts w:ascii="Georgia" w:eastAsia="Times New Roman" w:hAnsi="Georgia" w:cs="Times New Roman"/>
          <w:sz w:val="24"/>
          <w:szCs w:val="24"/>
        </w:rPr>
        <w:t>data can provide organizations with an edge in the competitive market and establish prices and customer satisfaction levels.</w:t>
      </w:r>
    </w:p>
    <w:p w14:paraId="3B8F71E0"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In a dynamic market environment, business validation helps companies develop business plans and assures their long-term survival and success.</w:t>
      </w:r>
    </w:p>
    <w:p w14:paraId="0910664F" w14:textId="09B9DF9E"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b/>
          <w:bCs/>
          <w:sz w:val="24"/>
          <w:szCs w:val="24"/>
        </w:rPr>
        <w:t xml:space="preserve">What are the most popular areas for </w:t>
      </w:r>
      <w:r w:rsidR="0017485C" w:rsidRPr="0017485C">
        <w:rPr>
          <w:rFonts w:ascii="Georgia" w:eastAsia="Times New Roman" w:hAnsi="Georgia" w:cs="Times New Roman"/>
          <w:b/>
          <w:bCs/>
          <w:sz w:val="24"/>
          <w:szCs w:val="24"/>
        </w:rPr>
        <w:t>Organic Fertilizers Market</w:t>
      </w:r>
      <w:r>
        <w:rPr>
          <w:rFonts w:ascii="Georgia" w:eastAsia="Times New Roman" w:hAnsi="Georgia" w:cs="Times New Roman"/>
          <w:b/>
          <w:bCs/>
          <w:sz w:val="24"/>
          <w:szCs w:val="24"/>
        </w:rPr>
        <w:t>?</w:t>
      </w:r>
    </w:p>
    <w:p w14:paraId="5531A68F" w14:textId="77777777" w:rsidR="000A1626" w:rsidRDefault="000A1626" w:rsidP="000A1626">
      <w:pPr>
        <w:pStyle w:val="ListParagraph"/>
        <w:numPr>
          <w:ilvl w:val="0"/>
          <w:numId w:val="18"/>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North American continent includes Canada, Mexico, and the United States.</w:t>
      </w:r>
    </w:p>
    <w:p w14:paraId="6CCFAF30" w14:textId="77777777" w:rsidR="000A1626" w:rsidRDefault="000A1626" w:rsidP="000A1626">
      <w:pPr>
        <w:pStyle w:val="ListParagraph"/>
        <w:numPr>
          <w:ilvl w:val="0"/>
          <w:numId w:val="18"/>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European Union is made up of the United Kingdom, France, Italy, Germany, the Republic of Turkey, and Russia.</w:t>
      </w:r>
    </w:p>
    <w:p w14:paraId="7680AC36" w14:textId="77777777" w:rsidR="000A1626" w:rsidRDefault="000A1626" w:rsidP="000A1626">
      <w:pPr>
        <w:pStyle w:val="ListParagraph"/>
        <w:numPr>
          <w:ilvl w:val="0"/>
          <w:numId w:val="18"/>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Asia-Pacific region is comprised of China, Japan, Korea, India, Australia, Vietnam, Thailand, Indonesia, and Malaysia.</w:t>
      </w:r>
    </w:p>
    <w:p w14:paraId="415B837C" w14:textId="77777777" w:rsidR="000A1626" w:rsidRDefault="000A1626" w:rsidP="000A1626">
      <w:pPr>
        <w:pStyle w:val="ListParagraph"/>
        <w:numPr>
          <w:ilvl w:val="0"/>
          <w:numId w:val="18"/>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region of Latin America, which includes Brazil, Argentina, and Columbia</w:t>
      </w:r>
    </w:p>
    <w:p w14:paraId="6ED00D3A" w14:textId="77777777" w:rsidR="000A1626" w:rsidRDefault="000A1626" w:rsidP="000A1626">
      <w:pPr>
        <w:pStyle w:val="ListParagraph"/>
        <w:numPr>
          <w:ilvl w:val="0"/>
          <w:numId w:val="18"/>
        </w:num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In addition to Africa, the Middle East includes South Africa, Egypt, Nigeria, Saudi Arabia and the United Arab Emirates.</w:t>
      </w:r>
    </w:p>
    <w:p w14:paraId="3E985A77"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b/>
          <w:bCs/>
          <w:sz w:val="24"/>
          <w:szCs w:val="24"/>
        </w:rPr>
        <w:t>Report highlights include:</w:t>
      </w:r>
    </w:p>
    <w:p w14:paraId="75D34C63"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lastRenderedPageBreak/>
        <w:t>There is a 360-degree synopsis of the industry in question in this study, which encompasses all aspects of the industry.</w:t>
      </w:r>
    </w:p>
    <w:p w14:paraId="462664E8" w14:textId="6FCEFA4F"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 xml:space="preserve">The report presents numerous pricing trends for the </w:t>
      </w:r>
      <w:r w:rsidR="0017485C" w:rsidRPr="0017485C">
        <w:rPr>
          <w:rFonts w:ascii="Georgia" w:eastAsia="Times New Roman" w:hAnsi="Georgia" w:cs="Times New Roman"/>
          <w:sz w:val="24"/>
          <w:szCs w:val="24"/>
        </w:rPr>
        <w:t>Organic Fertilizers Market</w:t>
      </w:r>
      <w:r>
        <w:rPr>
          <w:rFonts w:ascii="Georgia" w:eastAsia="Times New Roman" w:hAnsi="Georgia" w:cs="Times New Roman"/>
          <w:sz w:val="24"/>
          <w:szCs w:val="24"/>
        </w:rPr>
        <w:t>.</w:t>
      </w:r>
    </w:p>
    <w:p w14:paraId="49F9E455"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Additionally, the report includes some financial data about the companies included in the competitive landscape.</w:t>
      </w:r>
    </w:p>
    <w:p w14:paraId="12B978BC" w14:textId="77777777"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The study enumerates the key regulatory norms governing the keyword market in developed and developing economies.</w:t>
      </w:r>
    </w:p>
    <w:p w14:paraId="70596E54" w14:textId="388D806A" w:rsidR="000A1626" w:rsidRDefault="000A1626" w:rsidP="000A1626">
      <w:pPr>
        <w:spacing w:before="100" w:beforeAutospacing="1" w:after="100" w:afterAutospacing="1" w:line="360" w:lineRule="auto"/>
        <w:jc w:val="both"/>
        <w:rPr>
          <w:rFonts w:ascii="Georgia" w:eastAsia="Times New Roman" w:hAnsi="Georgia" w:cs="Times New Roman"/>
          <w:sz w:val="24"/>
          <w:szCs w:val="24"/>
        </w:rPr>
      </w:pPr>
      <w:r>
        <w:rPr>
          <w:rFonts w:ascii="Georgia" w:eastAsia="Times New Roman" w:hAnsi="Georgia" w:cs="Times New Roman"/>
          <w:sz w:val="24"/>
          <w:szCs w:val="24"/>
        </w:rPr>
        <w:t xml:space="preserve">Additionally, the </w:t>
      </w:r>
      <w:r w:rsidR="0017485C" w:rsidRPr="0017485C">
        <w:rPr>
          <w:rFonts w:ascii="Georgia" w:eastAsia="Times New Roman" w:hAnsi="Georgia" w:cs="Times New Roman"/>
          <w:sz w:val="24"/>
          <w:szCs w:val="24"/>
        </w:rPr>
        <w:t>Organic Fertilizers Market</w:t>
      </w:r>
      <w:r w:rsidR="0017485C">
        <w:rPr>
          <w:rFonts w:ascii="Georgia" w:eastAsia="Times New Roman" w:hAnsi="Georgia" w:cs="Times New Roman"/>
          <w:sz w:val="24"/>
          <w:szCs w:val="24"/>
        </w:rPr>
        <w:t xml:space="preserve"> </w:t>
      </w:r>
      <w:r>
        <w:rPr>
          <w:rFonts w:ascii="Georgia" w:eastAsia="Times New Roman" w:hAnsi="Georgia" w:cs="Times New Roman"/>
          <w:sz w:val="24"/>
          <w:szCs w:val="24"/>
        </w:rPr>
        <w:t xml:space="preserve">report provides definitions of the market terms referred to in the document for the sake of convenience. </w:t>
      </w:r>
    </w:p>
    <w:p w14:paraId="31EA88E6" w14:textId="77777777" w:rsidR="000A1626" w:rsidRDefault="000A1626" w:rsidP="000A1626">
      <w:pPr>
        <w:spacing w:before="100" w:beforeAutospacing="1" w:after="100" w:afterAutospacing="1" w:line="360" w:lineRule="auto"/>
        <w:jc w:val="both"/>
        <w:rPr>
          <w:rFonts w:ascii="Georgia" w:eastAsia="Times New Roman" w:hAnsi="Georgia" w:cs="Times New Roman"/>
          <w:b/>
          <w:bCs/>
          <w:sz w:val="24"/>
          <w:szCs w:val="24"/>
        </w:rPr>
      </w:pPr>
      <w:r>
        <w:rPr>
          <w:rFonts w:ascii="Georgia" w:eastAsia="Times New Roman" w:hAnsi="Georgia" w:cs="Times New Roman"/>
          <w:b/>
          <w:bCs/>
          <w:sz w:val="24"/>
          <w:szCs w:val="24"/>
        </w:rPr>
        <w:t>Future Potential</w:t>
      </w:r>
    </w:p>
    <w:p w14:paraId="33815749" w14:textId="32F2637E" w:rsidR="00AC2634" w:rsidRPr="007B46A1" w:rsidRDefault="000A1626" w:rsidP="007B46A1">
      <w:pPr>
        <w:pStyle w:val="pb-2"/>
        <w:spacing w:line="360" w:lineRule="auto"/>
        <w:jc w:val="both"/>
        <w:rPr>
          <w:rFonts w:ascii="Georgia" w:hAnsi="Georgia"/>
        </w:rPr>
      </w:pPr>
      <w:r>
        <w:rPr>
          <w:rFonts w:ascii="Georgia" w:hAnsi="Georgia"/>
        </w:rPr>
        <w:t xml:space="preserve">In the keyword research report, various primary and secondary sources are used to describe the methodology of conceptualizing the study. It has been discussed in the study what the scope of the report is and what elements it contains in terms of the growth spectrum of the keyword. The document also includes financial data of the companies profiled, along with the current price trends of the </w:t>
      </w:r>
      <w:r w:rsidR="0017485C" w:rsidRPr="0017485C">
        <w:rPr>
          <w:rFonts w:ascii="Georgia" w:hAnsi="Georgia"/>
        </w:rPr>
        <w:t>Organic Fertilizers Market</w:t>
      </w:r>
      <w:r>
        <w:rPr>
          <w:rFonts w:ascii="Georgia" w:hAnsi="Georgia"/>
        </w:rPr>
        <w:t xml:space="preserve">. </w:t>
      </w:r>
    </w:p>
    <w:sectPr w:rsidR="00AC2634" w:rsidRPr="007B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96A57"/>
    <w:multiLevelType w:val="multilevel"/>
    <w:tmpl w:val="BFEC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46980"/>
    <w:multiLevelType w:val="hybridMultilevel"/>
    <w:tmpl w:val="3F8AF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2857913">
    <w:abstractNumId w:val="0"/>
  </w:num>
  <w:num w:numId="2" w16cid:durableId="1165128491">
    <w:abstractNumId w:val="1"/>
  </w:num>
  <w:num w:numId="3" w16cid:durableId="842823626">
    <w:abstractNumId w:val="0"/>
  </w:num>
  <w:num w:numId="4" w16cid:durableId="815607747">
    <w:abstractNumId w:val="1"/>
  </w:num>
  <w:num w:numId="5" w16cid:durableId="2111316909">
    <w:abstractNumId w:val="0"/>
  </w:num>
  <w:num w:numId="6" w16cid:durableId="1022972667">
    <w:abstractNumId w:val="1"/>
  </w:num>
  <w:num w:numId="7" w16cid:durableId="971397824">
    <w:abstractNumId w:val="0"/>
  </w:num>
  <w:num w:numId="8" w16cid:durableId="818956049">
    <w:abstractNumId w:val="1"/>
  </w:num>
  <w:num w:numId="9" w16cid:durableId="2906319">
    <w:abstractNumId w:val="0"/>
  </w:num>
  <w:num w:numId="10" w16cid:durableId="385836154">
    <w:abstractNumId w:val="1"/>
  </w:num>
  <w:num w:numId="11" w16cid:durableId="244843093">
    <w:abstractNumId w:val="0"/>
  </w:num>
  <w:num w:numId="12" w16cid:durableId="677536710">
    <w:abstractNumId w:val="1"/>
  </w:num>
  <w:num w:numId="13" w16cid:durableId="32922233">
    <w:abstractNumId w:val="0"/>
  </w:num>
  <w:num w:numId="14" w16cid:durableId="1300458570">
    <w:abstractNumId w:val="1"/>
  </w:num>
  <w:num w:numId="15" w16cid:durableId="1283657340">
    <w:abstractNumId w:val="0"/>
  </w:num>
  <w:num w:numId="16" w16cid:durableId="818765388">
    <w:abstractNumId w:val="1"/>
  </w:num>
  <w:num w:numId="17" w16cid:durableId="1860391298">
    <w:abstractNumId w:val="0"/>
  </w:num>
  <w:num w:numId="18" w16cid:durableId="154174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B7"/>
    <w:rsid w:val="000A1626"/>
    <w:rsid w:val="0017485C"/>
    <w:rsid w:val="00184D79"/>
    <w:rsid w:val="003A18E4"/>
    <w:rsid w:val="003A7280"/>
    <w:rsid w:val="003C2955"/>
    <w:rsid w:val="006F717B"/>
    <w:rsid w:val="00755B0B"/>
    <w:rsid w:val="007B46A1"/>
    <w:rsid w:val="007E2FEC"/>
    <w:rsid w:val="0085344C"/>
    <w:rsid w:val="00891957"/>
    <w:rsid w:val="0089575A"/>
    <w:rsid w:val="008D3BDD"/>
    <w:rsid w:val="008F0AD8"/>
    <w:rsid w:val="0092700C"/>
    <w:rsid w:val="009F561F"/>
    <w:rsid w:val="00A2401D"/>
    <w:rsid w:val="00AC0175"/>
    <w:rsid w:val="00AC2634"/>
    <w:rsid w:val="00AC7FC7"/>
    <w:rsid w:val="00AF55E6"/>
    <w:rsid w:val="00CC4DAB"/>
    <w:rsid w:val="00E109DB"/>
    <w:rsid w:val="00E1614D"/>
    <w:rsid w:val="00E167AE"/>
    <w:rsid w:val="00E8260A"/>
    <w:rsid w:val="00EF0BD2"/>
    <w:rsid w:val="00F01AED"/>
    <w:rsid w:val="00FE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46BC"/>
  <w15:chartTrackingRefBased/>
  <w15:docId w15:val="{0463491C-33F6-44F8-8977-AB551DFF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D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B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0BD2"/>
    <w:pPr>
      <w:ind w:left="720"/>
      <w:contextualSpacing/>
    </w:pPr>
  </w:style>
  <w:style w:type="paragraph" w:customStyle="1" w:styleId="pb-2">
    <w:name w:val="pb-2"/>
    <w:basedOn w:val="Normal"/>
    <w:uiPriority w:val="99"/>
    <w:rsid w:val="00EF0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EF0BD2"/>
  </w:style>
  <w:style w:type="character" w:styleId="Hyperlink">
    <w:name w:val="Hyperlink"/>
    <w:basedOn w:val="DefaultParagraphFont"/>
    <w:uiPriority w:val="99"/>
    <w:unhideWhenUsed/>
    <w:rsid w:val="00EF0BD2"/>
    <w:rPr>
      <w:color w:val="0563C1" w:themeColor="hyperlink"/>
      <w:u w:val="single"/>
    </w:rPr>
  </w:style>
  <w:style w:type="paragraph" w:styleId="NoSpacing">
    <w:name w:val="No Spacing"/>
    <w:uiPriority w:val="1"/>
    <w:qFormat/>
    <w:rsid w:val="00EF0BD2"/>
    <w:pPr>
      <w:spacing w:after="0" w:line="240" w:lineRule="auto"/>
    </w:pPr>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AC0175"/>
    <w:rPr>
      <w:color w:val="605E5C"/>
      <w:shd w:val="clear" w:color="auto" w:fill="E1DFDD"/>
    </w:rPr>
  </w:style>
  <w:style w:type="character" w:styleId="Strong">
    <w:name w:val="Strong"/>
    <w:basedOn w:val="DefaultParagraphFont"/>
    <w:uiPriority w:val="22"/>
    <w:qFormat/>
    <w:rsid w:val="007B4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575">
      <w:bodyDiv w:val="1"/>
      <w:marLeft w:val="0"/>
      <w:marRight w:val="0"/>
      <w:marTop w:val="0"/>
      <w:marBottom w:val="0"/>
      <w:divBdr>
        <w:top w:val="none" w:sz="0" w:space="0" w:color="auto"/>
        <w:left w:val="none" w:sz="0" w:space="0" w:color="auto"/>
        <w:bottom w:val="none" w:sz="0" w:space="0" w:color="auto"/>
        <w:right w:val="none" w:sz="0" w:space="0" w:color="auto"/>
      </w:divBdr>
    </w:div>
    <w:div w:id="107357673">
      <w:bodyDiv w:val="1"/>
      <w:marLeft w:val="0"/>
      <w:marRight w:val="0"/>
      <w:marTop w:val="0"/>
      <w:marBottom w:val="0"/>
      <w:divBdr>
        <w:top w:val="none" w:sz="0" w:space="0" w:color="auto"/>
        <w:left w:val="none" w:sz="0" w:space="0" w:color="auto"/>
        <w:bottom w:val="none" w:sz="0" w:space="0" w:color="auto"/>
        <w:right w:val="none" w:sz="0" w:space="0" w:color="auto"/>
      </w:divBdr>
    </w:div>
    <w:div w:id="177698268">
      <w:bodyDiv w:val="1"/>
      <w:marLeft w:val="0"/>
      <w:marRight w:val="0"/>
      <w:marTop w:val="0"/>
      <w:marBottom w:val="0"/>
      <w:divBdr>
        <w:top w:val="none" w:sz="0" w:space="0" w:color="auto"/>
        <w:left w:val="none" w:sz="0" w:space="0" w:color="auto"/>
        <w:bottom w:val="none" w:sz="0" w:space="0" w:color="auto"/>
        <w:right w:val="none" w:sz="0" w:space="0" w:color="auto"/>
      </w:divBdr>
    </w:div>
    <w:div w:id="582639778">
      <w:bodyDiv w:val="1"/>
      <w:marLeft w:val="0"/>
      <w:marRight w:val="0"/>
      <w:marTop w:val="0"/>
      <w:marBottom w:val="0"/>
      <w:divBdr>
        <w:top w:val="none" w:sz="0" w:space="0" w:color="auto"/>
        <w:left w:val="none" w:sz="0" w:space="0" w:color="auto"/>
        <w:bottom w:val="none" w:sz="0" w:space="0" w:color="auto"/>
        <w:right w:val="none" w:sz="0" w:space="0" w:color="auto"/>
      </w:divBdr>
    </w:div>
    <w:div w:id="810094183">
      <w:bodyDiv w:val="1"/>
      <w:marLeft w:val="0"/>
      <w:marRight w:val="0"/>
      <w:marTop w:val="0"/>
      <w:marBottom w:val="0"/>
      <w:divBdr>
        <w:top w:val="none" w:sz="0" w:space="0" w:color="auto"/>
        <w:left w:val="none" w:sz="0" w:space="0" w:color="auto"/>
        <w:bottom w:val="none" w:sz="0" w:space="0" w:color="auto"/>
        <w:right w:val="none" w:sz="0" w:space="0" w:color="auto"/>
      </w:divBdr>
    </w:div>
    <w:div w:id="1253012039">
      <w:bodyDiv w:val="1"/>
      <w:marLeft w:val="0"/>
      <w:marRight w:val="0"/>
      <w:marTop w:val="0"/>
      <w:marBottom w:val="0"/>
      <w:divBdr>
        <w:top w:val="none" w:sz="0" w:space="0" w:color="auto"/>
        <w:left w:val="none" w:sz="0" w:space="0" w:color="auto"/>
        <w:bottom w:val="none" w:sz="0" w:space="0" w:color="auto"/>
        <w:right w:val="none" w:sz="0" w:space="0" w:color="auto"/>
      </w:divBdr>
    </w:div>
    <w:div w:id="1432970076">
      <w:bodyDiv w:val="1"/>
      <w:marLeft w:val="0"/>
      <w:marRight w:val="0"/>
      <w:marTop w:val="0"/>
      <w:marBottom w:val="0"/>
      <w:divBdr>
        <w:top w:val="none" w:sz="0" w:space="0" w:color="auto"/>
        <w:left w:val="none" w:sz="0" w:space="0" w:color="auto"/>
        <w:bottom w:val="none" w:sz="0" w:space="0" w:color="auto"/>
        <w:right w:val="none" w:sz="0" w:space="0" w:color="auto"/>
      </w:divBdr>
    </w:div>
    <w:div w:id="1458136869">
      <w:bodyDiv w:val="1"/>
      <w:marLeft w:val="0"/>
      <w:marRight w:val="0"/>
      <w:marTop w:val="0"/>
      <w:marBottom w:val="0"/>
      <w:divBdr>
        <w:top w:val="none" w:sz="0" w:space="0" w:color="auto"/>
        <w:left w:val="none" w:sz="0" w:space="0" w:color="auto"/>
        <w:bottom w:val="none" w:sz="0" w:space="0" w:color="auto"/>
        <w:right w:val="none" w:sz="0" w:space="0" w:color="auto"/>
      </w:divBdr>
    </w:div>
    <w:div w:id="1746029629">
      <w:bodyDiv w:val="1"/>
      <w:marLeft w:val="0"/>
      <w:marRight w:val="0"/>
      <w:marTop w:val="0"/>
      <w:marBottom w:val="0"/>
      <w:divBdr>
        <w:top w:val="none" w:sz="0" w:space="0" w:color="auto"/>
        <w:left w:val="none" w:sz="0" w:space="0" w:color="auto"/>
        <w:bottom w:val="none" w:sz="0" w:space="0" w:color="auto"/>
        <w:right w:val="none" w:sz="0" w:space="0" w:color="auto"/>
      </w:divBdr>
    </w:div>
    <w:div w:id="1971013447">
      <w:bodyDiv w:val="1"/>
      <w:marLeft w:val="0"/>
      <w:marRight w:val="0"/>
      <w:marTop w:val="0"/>
      <w:marBottom w:val="0"/>
      <w:divBdr>
        <w:top w:val="none" w:sz="0" w:space="0" w:color="auto"/>
        <w:left w:val="none" w:sz="0" w:space="0" w:color="auto"/>
        <w:bottom w:val="none" w:sz="0" w:space="0" w:color="auto"/>
        <w:right w:val="none" w:sz="0" w:space="0" w:color="auto"/>
      </w:divBdr>
    </w:div>
    <w:div w:id="20670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46" TargetMode="External"/><Relationship Id="rId5" Type="http://schemas.openxmlformats.org/officeDocument/2006/relationships/hyperlink" Target="https://www.researchnester.com/reports/organic-fertilizers-market/4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Guddu Kumar</dc:creator>
  <cp:keywords/>
  <dc:description/>
  <cp:lastModifiedBy>Guddu Kumar</cp:lastModifiedBy>
  <cp:revision>2</cp:revision>
  <dcterms:created xsi:type="dcterms:W3CDTF">2024-05-28T07:47:00Z</dcterms:created>
  <dcterms:modified xsi:type="dcterms:W3CDTF">2024-05-28T07:47:00Z</dcterms:modified>
</cp:coreProperties>
</file>