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94771" w14:textId="77E36938" w:rsidR="00835B99" w:rsidRPr="00835B99" w:rsidRDefault="0006133E" w:rsidP="00835B99">
      <w:pPr>
        <w:spacing w:line="360" w:lineRule="auto"/>
        <w:jc w:val="both"/>
        <w:rPr>
          <w:rStyle w:val="eop"/>
          <w:rFonts w:ascii="Georgia" w:hAnsi="Georgia"/>
          <w:b/>
          <w:color w:val="000000" w:themeColor="text1"/>
          <w:sz w:val="28"/>
          <w:szCs w:val="28"/>
        </w:rPr>
      </w:pPr>
      <w:r w:rsidRPr="004B118D">
        <w:rPr>
          <w:rFonts w:ascii="Georgia" w:hAnsi="Georgia"/>
          <w:b/>
          <w:color w:val="000000" w:themeColor="text1"/>
          <w:sz w:val="28"/>
          <w:szCs w:val="28"/>
        </w:rPr>
        <w:t xml:space="preserve">Stem Cell Treatment </w:t>
      </w:r>
      <w:r w:rsidR="00835B99">
        <w:rPr>
          <w:rFonts w:ascii="Georgia" w:hAnsi="Georgia"/>
          <w:b/>
          <w:color w:val="000000" w:themeColor="text1"/>
          <w:sz w:val="28"/>
          <w:szCs w:val="28"/>
        </w:rPr>
        <w:t>Size and Growth</w:t>
      </w:r>
    </w:p>
    <w:p w14:paraId="5D4B9AAE" w14:textId="77777777" w:rsidR="0006133E" w:rsidRPr="004B118D" w:rsidRDefault="0006133E" w:rsidP="0006133E">
      <w:pPr>
        <w:pStyle w:val="paragraph"/>
        <w:spacing w:before="0" w:beforeAutospacing="0" w:after="0" w:afterAutospacing="0" w:line="360" w:lineRule="auto"/>
        <w:jc w:val="both"/>
        <w:textAlignment w:val="baseline"/>
        <w:rPr>
          <w:rStyle w:val="eop"/>
          <w:rFonts w:ascii="Georgia" w:hAnsi="Georgia"/>
          <w:b/>
          <w:color w:val="000000" w:themeColor="text1"/>
          <w:sz w:val="28"/>
          <w:szCs w:val="28"/>
        </w:rPr>
      </w:pPr>
      <w:r w:rsidRPr="004B118D">
        <w:rPr>
          <w:rStyle w:val="eop"/>
          <w:rFonts w:ascii="Georgia" w:hAnsi="Georgia"/>
          <w:b/>
          <w:color w:val="000000" w:themeColor="text1"/>
          <w:sz w:val="28"/>
          <w:szCs w:val="28"/>
        </w:rPr>
        <w:t>Global Stem Cell Treatment Market Size:</w:t>
      </w:r>
    </w:p>
    <w:p w14:paraId="3AA1D707" w14:textId="14A701FF" w:rsidR="0006133E" w:rsidRPr="004B118D" w:rsidRDefault="0006133E" w:rsidP="00AA36DF">
      <w:pPr>
        <w:spacing w:line="360" w:lineRule="auto"/>
        <w:jc w:val="both"/>
        <w:rPr>
          <w:rFonts w:ascii="Georgia" w:hAnsi="Georgia"/>
          <w:color w:val="000000" w:themeColor="text1"/>
          <w:sz w:val="28"/>
          <w:szCs w:val="28"/>
        </w:rPr>
      </w:pPr>
      <w:r w:rsidRPr="004B118D">
        <w:rPr>
          <w:rStyle w:val="eop"/>
          <w:rFonts w:ascii="Georgia" w:hAnsi="Georgia"/>
          <w:color w:val="000000" w:themeColor="text1"/>
          <w:sz w:val="28"/>
          <w:szCs w:val="28"/>
        </w:rPr>
        <w:t xml:space="preserve">The global </w:t>
      </w:r>
      <w:hyperlink r:id="rId8" w:history="1">
        <w:r w:rsidRPr="004B118D">
          <w:rPr>
            <w:rStyle w:val="Hyperlink"/>
            <w:rFonts w:ascii="Georgia" w:hAnsi="Georgia"/>
            <w:b/>
            <w:sz w:val="28"/>
            <w:szCs w:val="28"/>
          </w:rPr>
          <w:t>stem cell treatment market</w:t>
        </w:r>
      </w:hyperlink>
      <w:r w:rsidRPr="004B118D">
        <w:rPr>
          <w:rStyle w:val="eop"/>
          <w:rFonts w:ascii="Georgia" w:hAnsi="Georgia"/>
          <w:color w:val="000000" w:themeColor="text1"/>
          <w:sz w:val="28"/>
          <w:szCs w:val="28"/>
        </w:rPr>
        <w:t xml:space="preserve"> is estimated to grow at a CAGR of ~</w:t>
      </w:r>
      <w:r w:rsidR="00C30203" w:rsidRPr="004B118D">
        <w:rPr>
          <w:rStyle w:val="eop"/>
          <w:rFonts w:ascii="Georgia" w:hAnsi="Georgia"/>
          <w:color w:val="000000" w:themeColor="text1"/>
          <w:sz w:val="28"/>
          <w:szCs w:val="28"/>
        </w:rPr>
        <w:t>11</w:t>
      </w:r>
      <w:r w:rsidRPr="004B118D">
        <w:rPr>
          <w:rStyle w:val="eop"/>
          <w:rFonts w:ascii="Georgia" w:hAnsi="Georgia"/>
          <w:color w:val="000000" w:themeColor="text1"/>
          <w:sz w:val="28"/>
          <w:szCs w:val="28"/>
        </w:rPr>
        <w:t xml:space="preserve">% </w:t>
      </w:r>
      <w:r w:rsidR="001E60BB" w:rsidRPr="004B118D">
        <w:rPr>
          <w:rStyle w:val="eop"/>
          <w:rFonts w:ascii="Georgia" w:hAnsi="Georgia"/>
          <w:color w:val="000000" w:themeColor="text1"/>
          <w:sz w:val="28"/>
          <w:szCs w:val="28"/>
        </w:rPr>
        <w:t xml:space="preserve">in the assessment </w:t>
      </w:r>
      <w:r w:rsidRPr="004B118D">
        <w:rPr>
          <w:rStyle w:val="eop"/>
          <w:rFonts w:ascii="Georgia" w:hAnsi="Georgia"/>
          <w:color w:val="000000" w:themeColor="text1"/>
          <w:sz w:val="28"/>
          <w:szCs w:val="28"/>
        </w:rPr>
        <w:t xml:space="preserve">period. The </w:t>
      </w:r>
      <w:r w:rsidRPr="004B118D">
        <w:rPr>
          <w:rFonts w:ascii="Georgia" w:hAnsi="Georgia"/>
          <w:color w:val="000000" w:themeColor="text1"/>
          <w:sz w:val="28"/>
          <w:szCs w:val="28"/>
        </w:rPr>
        <w:t xml:space="preserve">market is estimated to garner a revenue of ~USD </w:t>
      </w:r>
      <w:r w:rsidR="00EE1C3F" w:rsidRPr="004B118D">
        <w:rPr>
          <w:rFonts w:ascii="Georgia" w:hAnsi="Georgia"/>
          <w:color w:val="000000" w:themeColor="text1"/>
          <w:sz w:val="28"/>
          <w:szCs w:val="28"/>
        </w:rPr>
        <w:t>40</w:t>
      </w:r>
      <w:r w:rsidRPr="004B118D">
        <w:rPr>
          <w:rFonts w:ascii="Georgia" w:hAnsi="Georgia"/>
          <w:color w:val="000000" w:themeColor="text1"/>
          <w:sz w:val="28"/>
          <w:szCs w:val="28"/>
        </w:rPr>
        <w:t xml:space="preserve"> </w:t>
      </w:r>
      <w:r w:rsidR="00EE1C3F" w:rsidRPr="004B118D">
        <w:rPr>
          <w:rFonts w:ascii="Georgia" w:hAnsi="Georgia"/>
          <w:color w:val="000000" w:themeColor="text1"/>
          <w:sz w:val="28"/>
          <w:szCs w:val="28"/>
        </w:rPr>
        <w:t>b</w:t>
      </w:r>
      <w:r w:rsidRPr="004B118D">
        <w:rPr>
          <w:rFonts w:ascii="Georgia" w:hAnsi="Georgia"/>
          <w:color w:val="000000" w:themeColor="text1"/>
          <w:sz w:val="28"/>
          <w:szCs w:val="28"/>
        </w:rPr>
        <w:t xml:space="preserve">illion by the end of </w:t>
      </w:r>
      <w:r w:rsidR="006B2C25" w:rsidRPr="004B118D">
        <w:rPr>
          <w:rFonts w:ascii="Georgia" w:hAnsi="Georgia"/>
          <w:color w:val="000000" w:themeColor="text1"/>
          <w:sz w:val="28"/>
          <w:szCs w:val="28"/>
        </w:rPr>
        <w:t>2035</w:t>
      </w:r>
      <w:r w:rsidRPr="004B118D">
        <w:rPr>
          <w:rFonts w:ascii="Georgia" w:hAnsi="Georgia"/>
          <w:color w:val="000000" w:themeColor="text1"/>
          <w:sz w:val="28"/>
          <w:szCs w:val="28"/>
        </w:rPr>
        <w:t xml:space="preserve">, up from a revenue of ~USD </w:t>
      </w:r>
      <w:r w:rsidR="00FC23DF" w:rsidRPr="004B118D">
        <w:rPr>
          <w:rFonts w:ascii="Georgia" w:hAnsi="Georgia"/>
          <w:color w:val="000000" w:themeColor="text1"/>
          <w:sz w:val="28"/>
          <w:szCs w:val="28"/>
        </w:rPr>
        <w:t>12</w:t>
      </w:r>
      <w:r w:rsidRPr="004B118D">
        <w:rPr>
          <w:rFonts w:ascii="Georgia" w:hAnsi="Georgia"/>
          <w:color w:val="000000" w:themeColor="text1"/>
          <w:sz w:val="28"/>
          <w:szCs w:val="28"/>
        </w:rPr>
        <w:t xml:space="preserve"> </w:t>
      </w:r>
      <w:r w:rsidR="00EE1C3F" w:rsidRPr="004B118D">
        <w:rPr>
          <w:rFonts w:ascii="Georgia" w:hAnsi="Georgia"/>
          <w:color w:val="000000" w:themeColor="text1"/>
          <w:sz w:val="28"/>
          <w:szCs w:val="28"/>
        </w:rPr>
        <w:t>b</w:t>
      </w:r>
      <w:r w:rsidR="00C30203" w:rsidRPr="004B118D">
        <w:rPr>
          <w:rFonts w:ascii="Georgia" w:hAnsi="Georgia"/>
          <w:color w:val="000000" w:themeColor="text1"/>
          <w:sz w:val="28"/>
          <w:szCs w:val="28"/>
        </w:rPr>
        <w:t>i</w:t>
      </w:r>
      <w:r w:rsidRPr="004B118D">
        <w:rPr>
          <w:rFonts w:ascii="Georgia" w:hAnsi="Georgia"/>
          <w:color w:val="000000" w:themeColor="text1"/>
          <w:sz w:val="28"/>
          <w:szCs w:val="28"/>
        </w:rPr>
        <w:t xml:space="preserve">llion in the year 2022. </w:t>
      </w:r>
      <w:r w:rsidR="00AA36DF" w:rsidRPr="004B118D">
        <w:rPr>
          <w:rFonts w:ascii="Georgia" w:hAnsi="Georgia"/>
          <w:color w:val="000000" w:themeColor="text1"/>
          <w:sz w:val="28"/>
          <w:szCs w:val="28"/>
        </w:rPr>
        <w:t>Stem cell therapy, or regenerative medicine, promotes the repair response of diseased, dysfunctional, or injured tissue using stem cells or their derivatives. The growth of the market can be attributed to the rising demand for organ transplantation and the harsh reality that there are a limited number of organ donors and suppliers. In research for 2022, it was found that more than 100,000 Americans await organ transplants, and annually, nearly 6,000 die while waiting. Moreover, the rapid progress in the field of stem cells as well as the promising reports of clinical success stem cell treatment in various diseases such as neurodegenerative diseases and macular degeneration are expected to expand the stem cell treatment market.</w:t>
      </w:r>
    </w:p>
    <w:p w14:paraId="5E1B2D8C" w14:textId="4C81FD1A" w:rsidR="004B118D" w:rsidRPr="004B118D" w:rsidRDefault="004B118D" w:rsidP="00AA36DF">
      <w:pPr>
        <w:spacing w:line="360" w:lineRule="auto"/>
        <w:jc w:val="both"/>
        <w:rPr>
          <w:rStyle w:val="ui-provider"/>
          <w:rFonts w:ascii="Georgia" w:hAnsi="Georgia"/>
          <w:b/>
          <w:sz w:val="28"/>
          <w:szCs w:val="28"/>
        </w:rPr>
      </w:pPr>
      <w:r w:rsidRPr="004B118D">
        <w:rPr>
          <w:rStyle w:val="ui-provider"/>
          <w:rFonts w:ascii="Georgia" w:hAnsi="Georgia"/>
          <w:b/>
          <w:sz w:val="28"/>
          <w:szCs w:val="28"/>
        </w:rPr>
        <w:t xml:space="preserve">Request Free Sample Copy of this Report @ </w:t>
      </w:r>
    </w:p>
    <w:p w14:paraId="1C004604" w14:textId="212F1C1E" w:rsidR="00AA36DF" w:rsidRPr="004B118D" w:rsidRDefault="00835B99" w:rsidP="00AA36DF">
      <w:pPr>
        <w:spacing w:line="360" w:lineRule="auto"/>
        <w:jc w:val="both"/>
        <w:rPr>
          <w:rStyle w:val="eop"/>
          <w:rFonts w:ascii="Georgia" w:hAnsi="Georgia"/>
          <w:color w:val="000000" w:themeColor="text1"/>
          <w:sz w:val="28"/>
          <w:szCs w:val="28"/>
        </w:rPr>
      </w:pPr>
      <w:hyperlink r:id="rId9" w:history="1">
        <w:r w:rsidR="004B118D" w:rsidRPr="004B118D">
          <w:rPr>
            <w:rStyle w:val="Hyperlink"/>
            <w:rFonts w:ascii="Georgia" w:hAnsi="Georgia"/>
            <w:sz w:val="28"/>
            <w:szCs w:val="28"/>
          </w:rPr>
          <w:t>https://www.researchnester.com/sample-request-1329</w:t>
        </w:r>
      </w:hyperlink>
      <w:r w:rsidR="004B118D" w:rsidRPr="004B118D">
        <w:rPr>
          <w:rFonts w:ascii="Georgia" w:hAnsi="Georgia"/>
          <w:color w:val="000000" w:themeColor="text1"/>
          <w:sz w:val="28"/>
          <w:szCs w:val="28"/>
        </w:rPr>
        <w:t xml:space="preserve"> </w:t>
      </w:r>
    </w:p>
    <w:p w14:paraId="6DC2FA30" w14:textId="77777777" w:rsidR="0006133E" w:rsidRPr="004B118D" w:rsidRDefault="0006133E" w:rsidP="0006133E">
      <w:pPr>
        <w:pStyle w:val="paragraph"/>
        <w:spacing w:before="0" w:beforeAutospacing="0" w:after="0" w:afterAutospacing="0" w:line="360" w:lineRule="auto"/>
        <w:jc w:val="both"/>
        <w:textAlignment w:val="baseline"/>
        <w:rPr>
          <w:rStyle w:val="eop"/>
          <w:rFonts w:ascii="Georgia" w:hAnsi="Georgia"/>
          <w:b/>
          <w:color w:val="000000" w:themeColor="text1"/>
          <w:sz w:val="28"/>
          <w:szCs w:val="28"/>
        </w:rPr>
      </w:pPr>
      <w:r w:rsidRPr="004B118D">
        <w:rPr>
          <w:rStyle w:val="eop"/>
          <w:rFonts w:ascii="Georgia" w:hAnsi="Georgia"/>
          <w:b/>
          <w:color w:val="000000" w:themeColor="text1"/>
          <w:sz w:val="28"/>
          <w:szCs w:val="28"/>
        </w:rPr>
        <w:t xml:space="preserve">Global Stem Cell Treatment Market: Key Takeaways </w:t>
      </w:r>
    </w:p>
    <w:p w14:paraId="6C04EAB0" w14:textId="0885A2FD" w:rsidR="0006133E" w:rsidRPr="004B118D" w:rsidRDefault="0006133E" w:rsidP="0006133E">
      <w:pPr>
        <w:pStyle w:val="paragraph"/>
        <w:numPr>
          <w:ilvl w:val="0"/>
          <w:numId w:val="3"/>
        </w:numPr>
        <w:spacing w:before="0" w:beforeAutospacing="0" w:after="0" w:afterAutospacing="0" w:line="360" w:lineRule="auto"/>
        <w:jc w:val="both"/>
        <w:textAlignment w:val="baseline"/>
        <w:rPr>
          <w:rFonts w:ascii="Georgia" w:hAnsi="Georgia"/>
          <w:color w:val="000000" w:themeColor="text1"/>
          <w:sz w:val="28"/>
          <w:szCs w:val="28"/>
        </w:rPr>
      </w:pPr>
      <w:r w:rsidRPr="004B118D">
        <w:rPr>
          <w:rFonts w:ascii="Georgia" w:hAnsi="Georgia"/>
          <w:color w:val="000000" w:themeColor="text1"/>
          <w:sz w:val="28"/>
          <w:szCs w:val="28"/>
        </w:rPr>
        <w:t xml:space="preserve">Market in </w:t>
      </w:r>
      <w:r w:rsidR="00B1678E" w:rsidRPr="004B118D">
        <w:rPr>
          <w:rFonts w:ascii="Georgia" w:hAnsi="Georgia"/>
          <w:color w:val="000000" w:themeColor="text1"/>
          <w:sz w:val="28"/>
          <w:szCs w:val="28"/>
        </w:rPr>
        <w:t xml:space="preserve">North America </w:t>
      </w:r>
      <w:r w:rsidRPr="004B118D">
        <w:rPr>
          <w:rFonts w:ascii="Georgia" w:hAnsi="Georgia"/>
          <w:color w:val="000000" w:themeColor="text1"/>
          <w:sz w:val="28"/>
          <w:szCs w:val="28"/>
        </w:rPr>
        <w:t xml:space="preserve">to propel </w:t>
      </w:r>
      <w:r w:rsidR="002B73CA" w:rsidRPr="004B118D">
        <w:rPr>
          <w:rFonts w:ascii="Georgia" w:hAnsi="Georgia"/>
          <w:color w:val="000000" w:themeColor="text1"/>
          <w:sz w:val="28"/>
          <w:szCs w:val="28"/>
        </w:rPr>
        <w:t xml:space="preserve">the </w:t>
      </w:r>
      <w:r w:rsidRPr="004B118D">
        <w:rPr>
          <w:rFonts w:ascii="Georgia" w:hAnsi="Georgia"/>
          <w:color w:val="000000" w:themeColor="text1"/>
          <w:sz w:val="28"/>
          <w:szCs w:val="28"/>
        </w:rPr>
        <w:t>highest growth</w:t>
      </w:r>
    </w:p>
    <w:p w14:paraId="13AC4778" w14:textId="5232563D" w:rsidR="0006133E" w:rsidRPr="004B118D" w:rsidRDefault="00A56A1D" w:rsidP="0006133E">
      <w:pPr>
        <w:pStyle w:val="ListParagraph"/>
        <w:numPr>
          <w:ilvl w:val="0"/>
          <w:numId w:val="3"/>
        </w:numPr>
        <w:spacing w:line="360" w:lineRule="auto"/>
        <w:jc w:val="both"/>
        <w:rPr>
          <w:rFonts w:ascii="Georgia" w:hAnsi="Georgia"/>
          <w:color w:val="000000" w:themeColor="text1"/>
          <w:sz w:val="28"/>
          <w:szCs w:val="28"/>
        </w:rPr>
      </w:pPr>
      <w:r w:rsidRPr="004B118D">
        <w:rPr>
          <w:rFonts w:ascii="Georgia" w:hAnsi="Georgia"/>
          <w:color w:val="000000" w:themeColor="text1"/>
          <w:sz w:val="28"/>
          <w:szCs w:val="28"/>
        </w:rPr>
        <w:t xml:space="preserve">Regenerative Medicine </w:t>
      </w:r>
      <w:r w:rsidR="0006133E" w:rsidRPr="004B118D">
        <w:rPr>
          <w:rFonts w:ascii="Georgia" w:hAnsi="Georgia"/>
          <w:color w:val="000000" w:themeColor="text1"/>
          <w:sz w:val="28"/>
          <w:szCs w:val="28"/>
        </w:rPr>
        <w:t>segment to garner the highest growth</w:t>
      </w:r>
    </w:p>
    <w:p w14:paraId="533E7EDD" w14:textId="0F922A67" w:rsidR="0006133E" w:rsidRPr="004B118D" w:rsidRDefault="0006133E" w:rsidP="0006133E">
      <w:pPr>
        <w:pStyle w:val="ListParagraph"/>
        <w:numPr>
          <w:ilvl w:val="0"/>
          <w:numId w:val="3"/>
        </w:numPr>
        <w:spacing w:line="360" w:lineRule="auto"/>
        <w:jc w:val="both"/>
        <w:rPr>
          <w:rFonts w:ascii="Georgia" w:hAnsi="Georgia"/>
          <w:color w:val="000000" w:themeColor="text1"/>
          <w:sz w:val="28"/>
          <w:szCs w:val="28"/>
        </w:rPr>
      </w:pPr>
      <w:r w:rsidRPr="004B118D">
        <w:rPr>
          <w:rFonts w:ascii="Georgia" w:hAnsi="Georgia"/>
          <w:color w:val="000000" w:themeColor="text1"/>
          <w:sz w:val="28"/>
          <w:szCs w:val="28"/>
        </w:rPr>
        <w:t xml:space="preserve">Market in </w:t>
      </w:r>
      <w:r w:rsidR="00B1678E" w:rsidRPr="004B118D">
        <w:rPr>
          <w:rFonts w:ascii="Georgia" w:hAnsi="Georgia"/>
          <w:color w:val="000000" w:themeColor="text1"/>
          <w:sz w:val="28"/>
          <w:szCs w:val="28"/>
        </w:rPr>
        <w:t xml:space="preserve">Asia Pacific </w:t>
      </w:r>
      <w:r w:rsidRPr="004B118D">
        <w:rPr>
          <w:rFonts w:ascii="Georgia" w:hAnsi="Georgia"/>
          <w:color w:val="000000" w:themeColor="text1"/>
          <w:sz w:val="28"/>
          <w:szCs w:val="28"/>
        </w:rPr>
        <w:t xml:space="preserve">to grow at </w:t>
      </w:r>
      <w:r w:rsidR="00B1678E" w:rsidRPr="004B118D">
        <w:rPr>
          <w:rFonts w:ascii="Georgia" w:hAnsi="Georgia"/>
          <w:color w:val="000000" w:themeColor="text1"/>
          <w:sz w:val="28"/>
          <w:szCs w:val="28"/>
        </w:rPr>
        <w:t>the</w:t>
      </w:r>
      <w:r w:rsidRPr="004B118D">
        <w:rPr>
          <w:rFonts w:ascii="Georgia" w:hAnsi="Georgia"/>
          <w:color w:val="000000" w:themeColor="text1"/>
          <w:sz w:val="28"/>
          <w:szCs w:val="28"/>
        </w:rPr>
        <w:t xml:space="preserve"> highest rate </w:t>
      </w:r>
    </w:p>
    <w:p w14:paraId="1F95CDF0" w14:textId="77777777" w:rsidR="0006133E" w:rsidRPr="004B118D" w:rsidRDefault="0006133E" w:rsidP="0006133E">
      <w:pPr>
        <w:spacing w:line="360" w:lineRule="auto"/>
        <w:jc w:val="both"/>
        <w:rPr>
          <w:rFonts w:ascii="Georgia" w:hAnsi="Georgia"/>
          <w:color w:val="000000" w:themeColor="text1"/>
          <w:sz w:val="28"/>
          <w:szCs w:val="28"/>
        </w:rPr>
      </w:pPr>
    </w:p>
    <w:p w14:paraId="6EA86EF8" w14:textId="77777777" w:rsidR="00AA36DF" w:rsidRPr="004B118D" w:rsidRDefault="00AA36DF" w:rsidP="00AA36DF">
      <w:pPr>
        <w:spacing w:line="360" w:lineRule="auto"/>
        <w:jc w:val="both"/>
        <w:rPr>
          <w:rFonts w:ascii="Georgia" w:hAnsi="Georgia"/>
          <w:b/>
          <w:sz w:val="28"/>
          <w:szCs w:val="28"/>
        </w:rPr>
      </w:pPr>
      <w:r w:rsidRPr="004B118D">
        <w:rPr>
          <w:rFonts w:ascii="Georgia" w:hAnsi="Georgia"/>
          <w:b/>
          <w:sz w:val="28"/>
          <w:szCs w:val="28"/>
        </w:rPr>
        <w:lastRenderedPageBreak/>
        <w:t>Growing Global Burden of Diseases to Boost Market Growth</w:t>
      </w:r>
    </w:p>
    <w:p w14:paraId="44AB36C7" w14:textId="0FE29E9B" w:rsidR="00EF3229" w:rsidRPr="004B118D" w:rsidRDefault="00AA36DF" w:rsidP="00AA36DF">
      <w:pPr>
        <w:spacing w:line="360" w:lineRule="auto"/>
        <w:jc w:val="both"/>
        <w:rPr>
          <w:rFonts w:ascii="Georgia" w:hAnsi="Georgia"/>
          <w:sz w:val="28"/>
          <w:szCs w:val="28"/>
        </w:rPr>
      </w:pPr>
      <w:r w:rsidRPr="004B118D">
        <w:rPr>
          <w:rFonts w:ascii="Georgia" w:hAnsi="Georgia"/>
          <w:sz w:val="28"/>
          <w:szCs w:val="28"/>
        </w:rPr>
        <w:t>The global stem cell treatment market is anticipated to foresee exponential growth in the assessment period owing to the increasing spending on research &amp; development (R&amp;D), clinical trials, and approval for adult stem cell therapies, as well as education initiatives and patient advocacy in stem cell treatment across the world. The global widespread burden of various diseases and conditions like arthritis, autism, diabetes, leukemia, erectile dysfunction, infertility, lupus, psoriasis, multiple sclerosis, HIV, heart diseases, Crohn's disease, vitiligo, epilepsy, neuropathy, breast cancer, sickle cell disease, Parkinson's, acne scars, migraines, hepatitis, Ataxia, eczema, and many more are expected to boost demand for affordable, advanced, and best stem cell treatment, leading to market growth. It is observed that the total cost of chronic disease alone in the United States amounts to ~USD 3.7 trillion each year, or 19.6 percent of the country's gross domestic product (GDP), inclusive of indirect costs associated with lost economic productivity.</w:t>
      </w:r>
    </w:p>
    <w:p w14:paraId="783EBD90" w14:textId="77777777" w:rsidR="00AA36DF" w:rsidRPr="004B118D" w:rsidRDefault="00AA36DF" w:rsidP="0006133E">
      <w:pPr>
        <w:spacing w:line="360" w:lineRule="auto"/>
        <w:jc w:val="both"/>
        <w:rPr>
          <w:rFonts w:ascii="Georgia" w:hAnsi="Georgia"/>
          <w:b/>
          <w:color w:val="000000" w:themeColor="text1"/>
          <w:sz w:val="28"/>
          <w:szCs w:val="28"/>
        </w:rPr>
      </w:pPr>
    </w:p>
    <w:p w14:paraId="5CE90D02" w14:textId="03EB62ED" w:rsidR="0006133E" w:rsidRPr="004B118D" w:rsidRDefault="0006133E" w:rsidP="0006133E">
      <w:pPr>
        <w:spacing w:line="360" w:lineRule="auto"/>
        <w:jc w:val="both"/>
        <w:rPr>
          <w:rFonts w:ascii="Georgia" w:hAnsi="Georgia"/>
          <w:b/>
          <w:color w:val="000000" w:themeColor="text1"/>
          <w:sz w:val="28"/>
          <w:szCs w:val="28"/>
        </w:rPr>
      </w:pPr>
      <w:r w:rsidRPr="004B118D">
        <w:rPr>
          <w:rFonts w:ascii="Georgia" w:hAnsi="Georgia"/>
          <w:b/>
          <w:color w:val="000000" w:themeColor="text1"/>
          <w:sz w:val="28"/>
          <w:szCs w:val="28"/>
        </w:rPr>
        <w:t>Global Stem Cell Treatment Market: Regional Overview</w:t>
      </w:r>
    </w:p>
    <w:p w14:paraId="18A59DE4" w14:textId="6A487E61" w:rsidR="0006133E" w:rsidRPr="00835B99" w:rsidRDefault="0006133E" w:rsidP="0006133E">
      <w:pPr>
        <w:spacing w:line="360" w:lineRule="auto"/>
        <w:jc w:val="both"/>
        <w:rPr>
          <w:rStyle w:val="eop"/>
          <w:rFonts w:ascii="Georgia" w:hAnsi="Georgia"/>
          <w:color w:val="000000" w:themeColor="text1"/>
          <w:sz w:val="28"/>
          <w:szCs w:val="28"/>
          <w:shd w:val="clear" w:color="auto" w:fill="FFFFFF"/>
        </w:rPr>
      </w:pPr>
      <w:r w:rsidRPr="004B118D">
        <w:rPr>
          <w:rStyle w:val="normaltextrun"/>
          <w:rFonts w:ascii="Georgia" w:hAnsi="Georgia"/>
          <w:color w:val="000000" w:themeColor="text1"/>
          <w:sz w:val="28"/>
          <w:szCs w:val="28"/>
          <w:shd w:val="clear" w:color="auto" w:fill="FFFFFF"/>
        </w:rPr>
        <w:t xml:space="preserve">The global stem cell treatment market is segmented into five major regions including North America, </w:t>
      </w:r>
      <w:r w:rsidR="00B5715D" w:rsidRPr="004B118D">
        <w:rPr>
          <w:rStyle w:val="normaltextrun"/>
          <w:rFonts w:ascii="Georgia" w:hAnsi="Georgia"/>
          <w:color w:val="000000" w:themeColor="text1"/>
          <w:sz w:val="28"/>
          <w:szCs w:val="28"/>
          <w:shd w:val="clear" w:color="auto" w:fill="FFFFFF"/>
        </w:rPr>
        <w:t xml:space="preserve">Asia, </w:t>
      </w:r>
      <w:r w:rsidRPr="004B118D">
        <w:rPr>
          <w:rStyle w:val="normaltextrun"/>
          <w:rFonts w:ascii="Georgia" w:hAnsi="Georgia"/>
          <w:color w:val="000000" w:themeColor="text1"/>
          <w:sz w:val="28"/>
          <w:szCs w:val="28"/>
          <w:shd w:val="clear" w:color="auto" w:fill="FFFFFF"/>
        </w:rPr>
        <w:t>Europe, Latin America, and the Middle East and Africa region.</w:t>
      </w:r>
      <w:r w:rsidRPr="004B118D">
        <w:rPr>
          <w:rStyle w:val="eop"/>
          <w:rFonts w:ascii="Georgia" w:hAnsi="Georgia"/>
          <w:color w:val="000000" w:themeColor="text1"/>
          <w:sz w:val="28"/>
          <w:szCs w:val="28"/>
          <w:shd w:val="clear" w:color="auto" w:fill="FFFFFF"/>
        </w:rPr>
        <w:t> </w:t>
      </w:r>
    </w:p>
    <w:p w14:paraId="38689D06" w14:textId="77777777" w:rsidR="00AA36DF" w:rsidRPr="004B118D" w:rsidRDefault="00AA36DF" w:rsidP="00AA36DF">
      <w:pPr>
        <w:spacing w:line="360" w:lineRule="auto"/>
        <w:jc w:val="both"/>
        <w:rPr>
          <w:rStyle w:val="eop"/>
          <w:rFonts w:ascii="Georgia" w:hAnsi="Georgia"/>
          <w:b/>
          <w:color w:val="000000" w:themeColor="text1"/>
          <w:sz w:val="28"/>
          <w:szCs w:val="28"/>
          <w:shd w:val="clear" w:color="auto" w:fill="FFFFFF"/>
        </w:rPr>
      </w:pPr>
      <w:r w:rsidRPr="004B118D">
        <w:rPr>
          <w:rStyle w:val="eop"/>
          <w:rFonts w:ascii="Georgia" w:hAnsi="Georgia"/>
          <w:b/>
          <w:color w:val="000000" w:themeColor="text1"/>
          <w:sz w:val="28"/>
          <w:szCs w:val="28"/>
          <w:shd w:val="clear" w:color="auto" w:fill="FFFFFF"/>
        </w:rPr>
        <w:t>Increasing Number of Trials to Drive Growth in the North American Region</w:t>
      </w:r>
    </w:p>
    <w:p w14:paraId="4D1D669C" w14:textId="7A2544F3" w:rsidR="00AA36DF" w:rsidRPr="00835B99" w:rsidRDefault="00AA36DF" w:rsidP="00AA36DF">
      <w:pPr>
        <w:spacing w:line="360" w:lineRule="auto"/>
        <w:jc w:val="both"/>
        <w:rPr>
          <w:rStyle w:val="eop"/>
          <w:rFonts w:ascii="Georgia" w:hAnsi="Georgia"/>
          <w:color w:val="000000" w:themeColor="text1"/>
          <w:sz w:val="28"/>
          <w:szCs w:val="28"/>
          <w:shd w:val="clear" w:color="auto" w:fill="FFFFFF"/>
        </w:rPr>
      </w:pPr>
      <w:r w:rsidRPr="004B118D">
        <w:rPr>
          <w:rStyle w:val="eop"/>
          <w:rFonts w:ascii="Georgia" w:hAnsi="Georgia"/>
          <w:color w:val="000000" w:themeColor="text1"/>
          <w:sz w:val="28"/>
          <w:szCs w:val="28"/>
          <w:shd w:val="clear" w:color="auto" w:fill="FFFFFF"/>
        </w:rPr>
        <w:t xml:space="preserve">The stem cell treatment market in the North American region is estimated to garner the largest revenue by the end of 2035. The growth of the market in the region during the assessment period can be </w:t>
      </w:r>
      <w:r w:rsidRPr="004B118D">
        <w:rPr>
          <w:rStyle w:val="eop"/>
          <w:rFonts w:ascii="Georgia" w:hAnsi="Georgia"/>
          <w:color w:val="000000" w:themeColor="text1"/>
          <w:sz w:val="28"/>
          <w:szCs w:val="28"/>
          <w:shd w:val="clear" w:color="auto" w:fill="FFFFFF"/>
        </w:rPr>
        <w:lastRenderedPageBreak/>
        <w:t>attributed to the presence of a developed healthcare infrastructure as well as the increasing number of clinical trials backed by the growing government funding for research on stem cell therapies. The United States (U.S.) administration provided ~USD 3.7 billion in 2001 for research on all forms of stem cells, including those from adult and other non-embryonic sources, and by 2019, one stem cell-based treatment had been approved by the U.S. Food and Drug Administration (FDA). It is hematopoietic stem cell transplantation, used to treat patients with some types of cancer and disorders that affect the blood and immune system.</w:t>
      </w:r>
    </w:p>
    <w:p w14:paraId="522380D0" w14:textId="74A64CFC" w:rsidR="00AA36DF" w:rsidRPr="004B118D" w:rsidRDefault="000778E7" w:rsidP="00AA36DF">
      <w:pPr>
        <w:spacing w:line="360" w:lineRule="auto"/>
        <w:jc w:val="both"/>
        <w:rPr>
          <w:rStyle w:val="eop"/>
          <w:rFonts w:ascii="Georgia" w:hAnsi="Georgia"/>
          <w:b/>
          <w:color w:val="000000" w:themeColor="text1"/>
          <w:sz w:val="28"/>
          <w:szCs w:val="28"/>
          <w:shd w:val="clear" w:color="auto" w:fill="FFFFFF"/>
        </w:rPr>
      </w:pPr>
      <w:r w:rsidRPr="004B118D">
        <w:rPr>
          <w:rStyle w:val="eop"/>
          <w:rFonts w:ascii="Georgia" w:hAnsi="Georgia"/>
          <w:b/>
          <w:color w:val="000000" w:themeColor="text1"/>
          <w:sz w:val="28"/>
          <w:szCs w:val="28"/>
          <w:shd w:val="clear" w:color="auto" w:fill="FFFFFF"/>
        </w:rPr>
        <w:t> </w:t>
      </w:r>
      <w:r w:rsidR="00AA36DF" w:rsidRPr="004B118D">
        <w:rPr>
          <w:rStyle w:val="eop"/>
          <w:rFonts w:ascii="Georgia" w:hAnsi="Georgia"/>
          <w:b/>
          <w:color w:val="000000" w:themeColor="text1"/>
          <w:sz w:val="28"/>
          <w:szCs w:val="28"/>
          <w:shd w:val="clear" w:color="auto" w:fill="FFFFFF"/>
        </w:rPr>
        <w:t>Growing Medical Tourism to Drive Growth in the Asia-Pacific Region</w:t>
      </w:r>
    </w:p>
    <w:p w14:paraId="36BEAC03" w14:textId="7EB0DA82" w:rsidR="00AA36DF" w:rsidRPr="004B118D" w:rsidRDefault="00AA36DF" w:rsidP="00AA36DF">
      <w:pPr>
        <w:spacing w:line="360" w:lineRule="auto"/>
        <w:jc w:val="both"/>
        <w:rPr>
          <w:rStyle w:val="eop"/>
          <w:rFonts w:ascii="Georgia" w:hAnsi="Georgia"/>
          <w:color w:val="000000" w:themeColor="text1"/>
          <w:sz w:val="28"/>
          <w:szCs w:val="28"/>
          <w:shd w:val="clear" w:color="auto" w:fill="FFFFFF"/>
        </w:rPr>
      </w:pPr>
      <w:r w:rsidRPr="004B118D">
        <w:rPr>
          <w:rStyle w:val="eop"/>
          <w:rFonts w:ascii="Georgia" w:hAnsi="Georgia"/>
          <w:color w:val="000000" w:themeColor="text1"/>
          <w:sz w:val="28"/>
          <w:szCs w:val="28"/>
          <w:shd w:val="clear" w:color="auto" w:fill="FFFFFF"/>
        </w:rPr>
        <w:t>The stem cell treatment market in the Asia Pacific region is estimated to garner the highest CAGR by the end of 2035. The growth of the market in the region in the assessment period can be attributed to the vast pool of patients across the region suffering from a wide variety of medical conditions, including leukemia, thalassemia, damaged corneas, and several burns, as well as the augmenting medical tourism in emerging economies such as India, China, and other South Asian countries, besides the growing research investments by a few major market players in this field. As per findings, in India, the success rate of bone marrow transplants for blood cancer patients is almost 50%–75%, and for knee replacement stem cell therapy, it is around 100%. Moreover, stem cell treatment in India costs nearly 50% less than that in the USA, which is further expected to incite medical tourism in the region, boosting regional market growth.</w:t>
      </w:r>
    </w:p>
    <w:p w14:paraId="4BD9C69B" w14:textId="77777777" w:rsidR="00AA36DF" w:rsidRPr="004B118D" w:rsidRDefault="00AA36DF" w:rsidP="00AA36DF">
      <w:pPr>
        <w:spacing w:line="360" w:lineRule="auto"/>
        <w:jc w:val="both"/>
        <w:rPr>
          <w:rStyle w:val="eop"/>
          <w:rFonts w:ascii="Georgia" w:hAnsi="Georgia"/>
          <w:b/>
          <w:color w:val="000000" w:themeColor="text1"/>
          <w:sz w:val="28"/>
          <w:szCs w:val="28"/>
          <w:shd w:val="clear" w:color="auto" w:fill="FFFFFF"/>
        </w:rPr>
      </w:pPr>
    </w:p>
    <w:p w14:paraId="61DB8559" w14:textId="4480C39C" w:rsidR="0006133E" w:rsidRPr="004B118D" w:rsidRDefault="0006133E" w:rsidP="002C7536">
      <w:pPr>
        <w:spacing w:line="360" w:lineRule="auto"/>
        <w:jc w:val="both"/>
        <w:rPr>
          <w:rFonts w:ascii="Georgia" w:hAnsi="Georgia"/>
          <w:sz w:val="28"/>
          <w:szCs w:val="28"/>
          <w:shd w:val="clear" w:color="auto" w:fill="FFFFFF"/>
        </w:rPr>
      </w:pPr>
      <w:r w:rsidRPr="004B118D">
        <w:rPr>
          <w:rFonts w:ascii="Georgia" w:eastAsia="Times New Roman" w:hAnsi="Georgia" w:cs="Calibri"/>
          <w:sz w:val="28"/>
          <w:szCs w:val="28"/>
          <w:lang w:eastAsia="en-IN"/>
        </w:rPr>
        <w:t>The study further incorporates Y-O-Y growth, demand &amp; supply and forecast future opportunity in:  </w:t>
      </w:r>
    </w:p>
    <w:p w14:paraId="3D978179" w14:textId="77777777" w:rsidR="0006133E" w:rsidRPr="004B118D" w:rsidRDefault="0006133E" w:rsidP="0006133E">
      <w:pPr>
        <w:numPr>
          <w:ilvl w:val="0"/>
          <w:numId w:val="4"/>
        </w:numPr>
        <w:spacing w:after="0" w:line="360" w:lineRule="auto"/>
        <w:ind w:left="360" w:firstLine="0"/>
        <w:jc w:val="both"/>
        <w:textAlignment w:val="baseline"/>
        <w:rPr>
          <w:rFonts w:ascii="Georgia" w:eastAsia="Times New Roman" w:hAnsi="Georgia" w:cs="Calibri"/>
          <w:sz w:val="28"/>
          <w:szCs w:val="28"/>
          <w:lang w:eastAsia="en-IN"/>
        </w:rPr>
      </w:pPr>
      <w:r w:rsidRPr="004B118D">
        <w:rPr>
          <w:rFonts w:ascii="Georgia" w:eastAsia="Times New Roman" w:hAnsi="Georgia" w:cs="Calibri"/>
          <w:sz w:val="28"/>
          <w:szCs w:val="28"/>
          <w:lang w:eastAsia="en-IN"/>
        </w:rPr>
        <w:t>North America (U.S., Canada)  </w:t>
      </w:r>
    </w:p>
    <w:p w14:paraId="784EC623" w14:textId="77777777" w:rsidR="0006133E" w:rsidRPr="004B118D" w:rsidRDefault="0006133E" w:rsidP="0006133E">
      <w:pPr>
        <w:numPr>
          <w:ilvl w:val="0"/>
          <w:numId w:val="4"/>
        </w:numPr>
        <w:spacing w:after="0" w:line="360" w:lineRule="auto"/>
        <w:ind w:left="360" w:firstLine="0"/>
        <w:jc w:val="both"/>
        <w:textAlignment w:val="baseline"/>
        <w:rPr>
          <w:rFonts w:ascii="Georgia" w:eastAsia="Times New Roman" w:hAnsi="Georgia" w:cs="Calibri"/>
          <w:sz w:val="28"/>
          <w:szCs w:val="28"/>
          <w:lang w:eastAsia="en-IN"/>
        </w:rPr>
      </w:pPr>
      <w:r w:rsidRPr="004B118D">
        <w:rPr>
          <w:rFonts w:ascii="Georgia" w:eastAsia="Times New Roman" w:hAnsi="Georgia" w:cs="Calibri"/>
          <w:sz w:val="28"/>
          <w:szCs w:val="28"/>
          <w:lang w:eastAsia="en-IN"/>
        </w:rPr>
        <w:t>Europe (U.K., Germany, France, Italy, Spain, Hungary, Belgium, Netherlands &amp; Luxembourg, NORDIC [Finland, Sweden, Norway, Denmark], Poland, Turkey, Russia, Rest of Europe)  </w:t>
      </w:r>
    </w:p>
    <w:p w14:paraId="01141BFD" w14:textId="77777777" w:rsidR="0006133E" w:rsidRPr="004B118D" w:rsidRDefault="0006133E" w:rsidP="0006133E">
      <w:pPr>
        <w:numPr>
          <w:ilvl w:val="0"/>
          <w:numId w:val="4"/>
        </w:numPr>
        <w:spacing w:after="0" w:line="360" w:lineRule="auto"/>
        <w:ind w:left="360" w:firstLine="0"/>
        <w:jc w:val="both"/>
        <w:textAlignment w:val="baseline"/>
        <w:rPr>
          <w:rFonts w:ascii="Georgia" w:eastAsia="Times New Roman" w:hAnsi="Georgia" w:cs="Calibri"/>
          <w:sz w:val="28"/>
          <w:szCs w:val="28"/>
          <w:lang w:eastAsia="en-IN"/>
        </w:rPr>
      </w:pPr>
      <w:r w:rsidRPr="004B118D">
        <w:rPr>
          <w:rFonts w:ascii="Georgia" w:eastAsia="Times New Roman" w:hAnsi="Georgia" w:cs="Calibri"/>
          <w:sz w:val="28"/>
          <w:szCs w:val="28"/>
          <w:lang w:eastAsia="en-IN"/>
        </w:rPr>
        <w:t>Latin America (Brazil, Mexico, Argentina, Rest of Latin America)  </w:t>
      </w:r>
    </w:p>
    <w:p w14:paraId="7B826258" w14:textId="77777777" w:rsidR="0006133E" w:rsidRPr="004B118D" w:rsidRDefault="0006133E" w:rsidP="0006133E">
      <w:pPr>
        <w:numPr>
          <w:ilvl w:val="0"/>
          <w:numId w:val="4"/>
        </w:numPr>
        <w:spacing w:after="0" w:line="360" w:lineRule="auto"/>
        <w:ind w:left="360" w:firstLine="0"/>
        <w:jc w:val="both"/>
        <w:textAlignment w:val="baseline"/>
        <w:rPr>
          <w:rFonts w:ascii="Georgia" w:eastAsia="Times New Roman" w:hAnsi="Georgia" w:cs="Calibri"/>
          <w:sz w:val="28"/>
          <w:szCs w:val="28"/>
          <w:lang w:eastAsia="en-IN"/>
        </w:rPr>
      </w:pPr>
      <w:r w:rsidRPr="004B118D">
        <w:rPr>
          <w:rFonts w:ascii="Georgia" w:eastAsia="Times New Roman" w:hAnsi="Georgia" w:cs="Calibri"/>
          <w:sz w:val="28"/>
          <w:szCs w:val="28"/>
          <w:lang w:eastAsia="en-IN"/>
        </w:rPr>
        <w:t>Asia-Pacific (China, India, Japan, South Korea, Indonesia, Singapore, Malaysia, Australia, New Zealand, Rest of Asia-Pacific)  </w:t>
      </w:r>
    </w:p>
    <w:p w14:paraId="5403B4F7" w14:textId="77777777" w:rsidR="0006133E" w:rsidRPr="004B118D" w:rsidRDefault="0006133E" w:rsidP="0006133E">
      <w:pPr>
        <w:numPr>
          <w:ilvl w:val="0"/>
          <w:numId w:val="4"/>
        </w:numPr>
        <w:spacing w:after="0" w:line="360" w:lineRule="auto"/>
        <w:ind w:left="360" w:firstLine="0"/>
        <w:jc w:val="both"/>
        <w:textAlignment w:val="baseline"/>
        <w:rPr>
          <w:rFonts w:ascii="Georgia" w:eastAsia="Times New Roman" w:hAnsi="Georgia" w:cs="Calibri"/>
          <w:sz w:val="28"/>
          <w:szCs w:val="28"/>
          <w:lang w:eastAsia="en-IN"/>
        </w:rPr>
      </w:pPr>
      <w:r w:rsidRPr="004B118D">
        <w:rPr>
          <w:rFonts w:ascii="Georgia" w:eastAsia="Times New Roman" w:hAnsi="Georgia" w:cs="Calibri"/>
          <w:sz w:val="28"/>
          <w:szCs w:val="28"/>
          <w:lang w:eastAsia="en-IN"/>
        </w:rPr>
        <w:t>Middle East and Africa (Israel, GCC [Saudi Arabia, UAE, Bahrain, Kuwait, Qatar, Oman], North Africa, South Africa, Rest of Middle East and Africa). </w:t>
      </w:r>
    </w:p>
    <w:p w14:paraId="2D425BCC" w14:textId="77777777" w:rsidR="0006133E" w:rsidRPr="004B118D" w:rsidRDefault="0006133E" w:rsidP="0006133E">
      <w:pPr>
        <w:spacing w:after="0" w:line="360" w:lineRule="auto"/>
        <w:jc w:val="both"/>
        <w:textAlignment w:val="baseline"/>
        <w:rPr>
          <w:rFonts w:ascii="Georgia" w:eastAsia="Times New Roman" w:hAnsi="Georgia" w:cs="Calibri"/>
          <w:sz w:val="28"/>
          <w:szCs w:val="28"/>
          <w:lang w:eastAsia="en-IN"/>
        </w:rPr>
      </w:pPr>
    </w:p>
    <w:p w14:paraId="65C86272" w14:textId="789CACA1" w:rsidR="0006133E" w:rsidRPr="004B118D" w:rsidRDefault="0006133E" w:rsidP="0006133E">
      <w:pPr>
        <w:spacing w:after="0" w:line="360" w:lineRule="auto"/>
        <w:jc w:val="both"/>
        <w:textAlignment w:val="baseline"/>
        <w:rPr>
          <w:rFonts w:ascii="Georgia" w:eastAsia="Times New Roman" w:hAnsi="Georgia" w:cs="Calibri"/>
          <w:b/>
          <w:color w:val="000000" w:themeColor="text1"/>
          <w:sz w:val="28"/>
          <w:szCs w:val="28"/>
          <w:lang w:eastAsia="en-IN"/>
        </w:rPr>
      </w:pPr>
      <w:r w:rsidRPr="004B118D">
        <w:rPr>
          <w:rFonts w:ascii="Georgia" w:eastAsia="Times New Roman" w:hAnsi="Georgia" w:cs="Calibri"/>
          <w:b/>
          <w:color w:val="000000" w:themeColor="text1"/>
          <w:sz w:val="28"/>
          <w:szCs w:val="28"/>
          <w:lang w:eastAsia="en-IN"/>
        </w:rPr>
        <w:t xml:space="preserve">Global Stem Cell Treatment Market, Segmentation by </w:t>
      </w:r>
      <w:r w:rsidR="00C30203" w:rsidRPr="004B118D">
        <w:rPr>
          <w:rFonts w:ascii="Georgia" w:eastAsia="Times New Roman" w:hAnsi="Georgia" w:cs="Calibri"/>
          <w:b/>
          <w:color w:val="000000" w:themeColor="text1"/>
          <w:sz w:val="28"/>
          <w:szCs w:val="28"/>
          <w:lang w:eastAsia="en-IN"/>
        </w:rPr>
        <w:t>Application</w:t>
      </w:r>
    </w:p>
    <w:p w14:paraId="6FD9D060" w14:textId="77777777" w:rsidR="00C30203" w:rsidRPr="004B118D" w:rsidRDefault="00C30203" w:rsidP="00C30203">
      <w:pPr>
        <w:pStyle w:val="ListParagraph"/>
        <w:numPr>
          <w:ilvl w:val="0"/>
          <w:numId w:val="5"/>
        </w:numPr>
        <w:spacing w:line="360" w:lineRule="auto"/>
        <w:jc w:val="both"/>
        <w:rPr>
          <w:rFonts w:ascii="Georgia" w:hAnsi="Georgia"/>
          <w:color w:val="000000" w:themeColor="text1"/>
          <w:sz w:val="28"/>
          <w:szCs w:val="28"/>
        </w:rPr>
      </w:pPr>
      <w:bookmarkStart w:id="0" w:name="_Hlk128742803"/>
      <w:r w:rsidRPr="004B118D">
        <w:rPr>
          <w:rFonts w:ascii="Georgia" w:hAnsi="Georgia"/>
          <w:color w:val="000000" w:themeColor="text1"/>
          <w:sz w:val="28"/>
          <w:szCs w:val="28"/>
        </w:rPr>
        <w:t>Regenerative Medicine</w:t>
      </w:r>
    </w:p>
    <w:bookmarkEnd w:id="0"/>
    <w:p w14:paraId="5375983D" w14:textId="121BF27B" w:rsidR="0006133E" w:rsidRPr="004B118D" w:rsidRDefault="00C30203" w:rsidP="00C30203">
      <w:pPr>
        <w:pStyle w:val="ListParagraph"/>
        <w:numPr>
          <w:ilvl w:val="0"/>
          <w:numId w:val="5"/>
        </w:numPr>
        <w:spacing w:line="360" w:lineRule="auto"/>
        <w:jc w:val="both"/>
        <w:rPr>
          <w:rFonts w:ascii="Georgia" w:hAnsi="Georgia"/>
          <w:color w:val="000000" w:themeColor="text1"/>
          <w:sz w:val="28"/>
          <w:szCs w:val="28"/>
        </w:rPr>
      </w:pPr>
      <w:r w:rsidRPr="004B118D">
        <w:rPr>
          <w:rFonts w:ascii="Georgia" w:hAnsi="Georgia"/>
          <w:color w:val="000000" w:themeColor="text1"/>
          <w:sz w:val="28"/>
          <w:szCs w:val="28"/>
        </w:rPr>
        <w:t>Drug Discovery and Development</w:t>
      </w:r>
    </w:p>
    <w:p w14:paraId="76F4080A" w14:textId="2736B762" w:rsidR="0006133E" w:rsidRPr="004B118D" w:rsidRDefault="002C7536" w:rsidP="0006133E">
      <w:pPr>
        <w:spacing w:line="360" w:lineRule="auto"/>
        <w:jc w:val="both"/>
        <w:rPr>
          <w:rFonts w:ascii="Georgia" w:hAnsi="Georgia"/>
          <w:sz w:val="28"/>
          <w:szCs w:val="28"/>
        </w:rPr>
      </w:pPr>
      <w:r w:rsidRPr="004B118D">
        <w:rPr>
          <w:rFonts w:ascii="Georgia" w:hAnsi="Georgia"/>
          <w:color w:val="000000" w:themeColor="text1"/>
          <w:sz w:val="28"/>
          <w:szCs w:val="28"/>
        </w:rPr>
        <w:t>The regenerative medicine segment is anticipated to hold the largest revenue by the end of 2035. The segment growth in the assessment year can be attributed to the rapidly increasing technological advancements as well as growing investment in R&amp;D by the pharma companies in developing regenerative medicine, along with the increasing success rate of stem cell transplants worldwide and a burgeoning number of clinical trials on cell therapies, immunomodulation therapy, and tissue engineering. According to research, stem cell transplants in India have a 50% success rate in treating various types of cancer, thalassemia, aplastic anemia, and more, while showing an approximately 70%–80% success rate in treating non-malignant conditions such as aplastic anemia.</w:t>
      </w:r>
    </w:p>
    <w:p w14:paraId="0AE55A6D" w14:textId="77777777" w:rsidR="0006133E" w:rsidRPr="004B118D" w:rsidRDefault="0006133E" w:rsidP="0006133E">
      <w:pPr>
        <w:spacing w:after="0" w:line="360" w:lineRule="auto"/>
        <w:jc w:val="both"/>
        <w:textAlignment w:val="baseline"/>
        <w:rPr>
          <w:rFonts w:ascii="Georgia" w:eastAsia="Times New Roman" w:hAnsi="Georgia" w:cs="Calibri"/>
          <w:b/>
          <w:color w:val="000000" w:themeColor="text1"/>
          <w:sz w:val="28"/>
          <w:szCs w:val="28"/>
          <w:lang w:eastAsia="en-IN"/>
        </w:rPr>
      </w:pPr>
      <w:r w:rsidRPr="004B118D">
        <w:rPr>
          <w:rFonts w:ascii="Georgia" w:eastAsia="Times New Roman" w:hAnsi="Georgia" w:cs="Calibri"/>
          <w:b/>
          <w:color w:val="000000" w:themeColor="text1"/>
          <w:sz w:val="28"/>
          <w:szCs w:val="28"/>
          <w:lang w:eastAsia="en-IN"/>
        </w:rPr>
        <w:t xml:space="preserve">Global Stem Cell Treatment Market, Segmentation by </w:t>
      </w:r>
    </w:p>
    <w:p w14:paraId="28F5C85F" w14:textId="77777777" w:rsidR="00C30203" w:rsidRPr="004B118D" w:rsidRDefault="00C30203" w:rsidP="00C30203">
      <w:pPr>
        <w:pStyle w:val="ListParagraph"/>
        <w:numPr>
          <w:ilvl w:val="0"/>
          <w:numId w:val="5"/>
        </w:numPr>
        <w:spacing w:line="360" w:lineRule="auto"/>
        <w:jc w:val="both"/>
        <w:rPr>
          <w:rFonts w:ascii="Georgia" w:hAnsi="Georgia"/>
          <w:color w:val="000000" w:themeColor="text1"/>
          <w:sz w:val="28"/>
          <w:szCs w:val="28"/>
        </w:rPr>
      </w:pPr>
      <w:r w:rsidRPr="004B118D">
        <w:rPr>
          <w:rFonts w:ascii="Georgia" w:hAnsi="Georgia"/>
          <w:color w:val="000000" w:themeColor="text1"/>
          <w:sz w:val="28"/>
          <w:szCs w:val="28"/>
        </w:rPr>
        <w:t>Cell Acquisition</w:t>
      </w:r>
    </w:p>
    <w:p w14:paraId="7814B402" w14:textId="77777777" w:rsidR="00C30203" w:rsidRPr="004B118D" w:rsidRDefault="00C30203" w:rsidP="00C30203">
      <w:pPr>
        <w:pStyle w:val="ListParagraph"/>
        <w:numPr>
          <w:ilvl w:val="0"/>
          <w:numId w:val="8"/>
        </w:numPr>
        <w:spacing w:line="360" w:lineRule="auto"/>
        <w:jc w:val="both"/>
        <w:rPr>
          <w:rFonts w:ascii="Georgia" w:hAnsi="Georgia"/>
          <w:color w:val="000000" w:themeColor="text1"/>
          <w:sz w:val="28"/>
          <w:szCs w:val="28"/>
        </w:rPr>
      </w:pPr>
      <w:r w:rsidRPr="004B118D">
        <w:rPr>
          <w:rFonts w:ascii="Georgia" w:hAnsi="Georgia"/>
          <w:color w:val="000000" w:themeColor="text1"/>
          <w:sz w:val="28"/>
          <w:szCs w:val="28"/>
        </w:rPr>
        <w:t>Bone Marrow Harvest</w:t>
      </w:r>
    </w:p>
    <w:p w14:paraId="4D4AA637" w14:textId="77777777" w:rsidR="00C30203" w:rsidRPr="004B118D" w:rsidRDefault="00C30203" w:rsidP="00C30203">
      <w:pPr>
        <w:pStyle w:val="ListParagraph"/>
        <w:numPr>
          <w:ilvl w:val="0"/>
          <w:numId w:val="8"/>
        </w:numPr>
        <w:spacing w:line="360" w:lineRule="auto"/>
        <w:jc w:val="both"/>
        <w:rPr>
          <w:rFonts w:ascii="Georgia" w:hAnsi="Georgia"/>
          <w:color w:val="000000" w:themeColor="text1"/>
          <w:sz w:val="28"/>
          <w:szCs w:val="28"/>
        </w:rPr>
      </w:pPr>
      <w:r w:rsidRPr="004B118D">
        <w:rPr>
          <w:rFonts w:ascii="Georgia" w:hAnsi="Georgia"/>
          <w:color w:val="000000" w:themeColor="text1"/>
          <w:sz w:val="28"/>
          <w:szCs w:val="28"/>
        </w:rPr>
        <w:t>Umbilical Blood Cord</w:t>
      </w:r>
    </w:p>
    <w:p w14:paraId="43D75EA0" w14:textId="77777777" w:rsidR="00C30203" w:rsidRPr="004B118D" w:rsidRDefault="00C30203" w:rsidP="00C30203">
      <w:pPr>
        <w:pStyle w:val="ListParagraph"/>
        <w:numPr>
          <w:ilvl w:val="0"/>
          <w:numId w:val="8"/>
        </w:numPr>
        <w:spacing w:line="360" w:lineRule="auto"/>
        <w:jc w:val="both"/>
        <w:rPr>
          <w:rFonts w:ascii="Georgia" w:hAnsi="Georgia"/>
          <w:color w:val="000000" w:themeColor="text1"/>
          <w:sz w:val="28"/>
          <w:szCs w:val="28"/>
        </w:rPr>
      </w:pPr>
      <w:r w:rsidRPr="004B118D">
        <w:rPr>
          <w:rFonts w:ascii="Georgia" w:hAnsi="Georgia"/>
          <w:color w:val="000000" w:themeColor="text1"/>
          <w:sz w:val="28"/>
          <w:szCs w:val="28"/>
        </w:rPr>
        <w:t>Apheresis</w:t>
      </w:r>
    </w:p>
    <w:p w14:paraId="38560761" w14:textId="77777777" w:rsidR="00C30203" w:rsidRPr="004B118D" w:rsidRDefault="00C30203" w:rsidP="00C30203">
      <w:pPr>
        <w:pStyle w:val="ListParagraph"/>
        <w:numPr>
          <w:ilvl w:val="0"/>
          <w:numId w:val="5"/>
        </w:numPr>
        <w:spacing w:line="360" w:lineRule="auto"/>
        <w:jc w:val="both"/>
        <w:rPr>
          <w:rFonts w:ascii="Georgia" w:hAnsi="Georgia"/>
          <w:color w:val="000000" w:themeColor="text1"/>
          <w:sz w:val="28"/>
          <w:szCs w:val="28"/>
        </w:rPr>
      </w:pPr>
      <w:r w:rsidRPr="004B118D">
        <w:rPr>
          <w:rFonts w:ascii="Georgia" w:hAnsi="Georgia"/>
          <w:color w:val="000000" w:themeColor="text1"/>
          <w:sz w:val="28"/>
          <w:szCs w:val="28"/>
        </w:rPr>
        <w:t>Cell Production</w:t>
      </w:r>
    </w:p>
    <w:p w14:paraId="5765D340" w14:textId="77777777" w:rsidR="00C30203" w:rsidRPr="004B118D" w:rsidRDefault="00C30203" w:rsidP="00C30203">
      <w:pPr>
        <w:pStyle w:val="ListParagraph"/>
        <w:numPr>
          <w:ilvl w:val="0"/>
          <w:numId w:val="9"/>
        </w:numPr>
        <w:spacing w:line="360" w:lineRule="auto"/>
        <w:jc w:val="both"/>
        <w:rPr>
          <w:rFonts w:ascii="Georgia" w:hAnsi="Georgia"/>
          <w:color w:val="000000" w:themeColor="text1"/>
          <w:sz w:val="28"/>
          <w:szCs w:val="28"/>
        </w:rPr>
      </w:pPr>
      <w:r w:rsidRPr="004B118D">
        <w:rPr>
          <w:rFonts w:ascii="Georgia" w:hAnsi="Georgia"/>
          <w:color w:val="000000" w:themeColor="text1"/>
          <w:sz w:val="28"/>
          <w:szCs w:val="28"/>
        </w:rPr>
        <w:t>Therapeutic Cloning</w:t>
      </w:r>
    </w:p>
    <w:p w14:paraId="7866353C" w14:textId="77777777" w:rsidR="00C30203" w:rsidRPr="004B118D" w:rsidRDefault="00C30203" w:rsidP="00C30203">
      <w:pPr>
        <w:pStyle w:val="ListParagraph"/>
        <w:numPr>
          <w:ilvl w:val="0"/>
          <w:numId w:val="9"/>
        </w:numPr>
        <w:spacing w:line="360" w:lineRule="auto"/>
        <w:jc w:val="both"/>
        <w:rPr>
          <w:rFonts w:ascii="Georgia" w:hAnsi="Georgia"/>
          <w:color w:val="000000" w:themeColor="text1"/>
          <w:sz w:val="28"/>
          <w:szCs w:val="28"/>
        </w:rPr>
      </w:pPr>
      <w:r w:rsidRPr="004B118D">
        <w:rPr>
          <w:rFonts w:ascii="Georgia" w:hAnsi="Georgia"/>
          <w:color w:val="000000" w:themeColor="text1"/>
          <w:sz w:val="28"/>
          <w:szCs w:val="28"/>
        </w:rPr>
        <w:t>In-vitro Fertilization</w:t>
      </w:r>
    </w:p>
    <w:p w14:paraId="041529B9" w14:textId="77777777" w:rsidR="00C30203" w:rsidRPr="004B118D" w:rsidRDefault="00C30203" w:rsidP="00C30203">
      <w:pPr>
        <w:pStyle w:val="ListParagraph"/>
        <w:numPr>
          <w:ilvl w:val="0"/>
          <w:numId w:val="9"/>
        </w:numPr>
        <w:spacing w:line="360" w:lineRule="auto"/>
        <w:jc w:val="both"/>
        <w:rPr>
          <w:rFonts w:ascii="Georgia" w:hAnsi="Georgia"/>
          <w:color w:val="000000" w:themeColor="text1"/>
          <w:sz w:val="28"/>
          <w:szCs w:val="28"/>
        </w:rPr>
      </w:pPr>
      <w:r w:rsidRPr="004B118D">
        <w:rPr>
          <w:rFonts w:ascii="Georgia" w:hAnsi="Georgia"/>
          <w:color w:val="000000" w:themeColor="text1"/>
          <w:sz w:val="28"/>
          <w:szCs w:val="28"/>
        </w:rPr>
        <w:t>Cell Culture</w:t>
      </w:r>
    </w:p>
    <w:p w14:paraId="3AEE597A" w14:textId="77777777" w:rsidR="00C30203" w:rsidRPr="004B118D" w:rsidRDefault="00C30203" w:rsidP="00C30203">
      <w:pPr>
        <w:pStyle w:val="ListParagraph"/>
        <w:numPr>
          <w:ilvl w:val="0"/>
          <w:numId w:val="9"/>
        </w:numPr>
        <w:spacing w:line="360" w:lineRule="auto"/>
        <w:jc w:val="both"/>
        <w:rPr>
          <w:rFonts w:ascii="Georgia" w:hAnsi="Georgia"/>
          <w:color w:val="000000" w:themeColor="text1"/>
          <w:sz w:val="28"/>
          <w:szCs w:val="28"/>
        </w:rPr>
      </w:pPr>
      <w:r w:rsidRPr="004B118D">
        <w:rPr>
          <w:rFonts w:ascii="Georgia" w:hAnsi="Georgia"/>
          <w:color w:val="000000" w:themeColor="text1"/>
          <w:sz w:val="28"/>
          <w:szCs w:val="28"/>
        </w:rPr>
        <w:t>Isolation</w:t>
      </w:r>
    </w:p>
    <w:p w14:paraId="64EB6ACB" w14:textId="77777777" w:rsidR="00C30203" w:rsidRPr="004B118D" w:rsidRDefault="00C30203" w:rsidP="00C30203">
      <w:pPr>
        <w:pStyle w:val="ListParagraph"/>
        <w:numPr>
          <w:ilvl w:val="0"/>
          <w:numId w:val="5"/>
        </w:numPr>
        <w:spacing w:line="360" w:lineRule="auto"/>
        <w:jc w:val="both"/>
        <w:rPr>
          <w:rFonts w:ascii="Georgia" w:hAnsi="Georgia"/>
          <w:color w:val="000000" w:themeColor="text1"/>
          <w:sz w:val="28"/>
          <w:szCs w:val="28"/>
        </w:rPr>
      </w:pPr>
      <w:r w:rsidRPr="004B118D">
        <w:rPr>
          <w:rFonts w:ascii="Georgia" w:hAnsi="Georgia"/>
          <w:color w:val="000000" w:themeColor="text1"/>
          <w:sz w:val="28"/>
          <w:szCs w:val="28"/>
        </w:rPr>
        <w:t>Cryopreservation</w:t>
      </w:r>
    </w:p>
    <w:p w14:paraId="1BCAC591" w14:textId="366CE6E8" w:rsidR="0006133E" w:rsidRPr="004B118D" w:rsidRDefault="00C30203" w:rsidP="00C30203">
      <w:pPr>
        <w:pStyle w:val="ListParagraph"/>
        <w:numPr>
          <w:ilvl w:val="0"/>
          <w:numId w:val="5"/>
        </w:numPr>
        <w:spacing w:line="360" w:lineRule="auto"/>
        <w:jc w:val="both"/>
        <w:rPr>
          <w:rFonts w:ascii="Georgia" w:hAnsi="Georgia"/>
          <w:color w:val="000000" w:themeColor="text1"/>
          <w:sz w:val="28"/>
          <w:szCs w:val="28"/>
        </w:rPr>
      </w:pPr>
      <w:r w:rsidRPr="004B118D">
        <w:rPr>
          <w:rFonts w:ascii="Georgia" w:hAnsi="Georgia"/>
          <w:color w:val="000000" w:themeColor="text1"/>
          <w:sz w:val="28"/>
          <w:szCs w:val="28"/>
        </w:rPr>
        <w:t>Expansion and Subculture</w:t>
      </w:r>
    </w:p>
    <w:p w14:paraId="14CD5E7D" w14:textId="58BF5A88" w:rsidR="0006133E" w:rsidRPr="004B118D" w:rsidRDefault="00284781" w:rsidP="0006133E">
      <w:pPr>
        <w:spacing w:line="360" w:lineRule="auto"/>
        <w:jc w:val="both"/>
        <w:rPr>
          <w:rFonts w:ascii="Georgia" w:eastAsia="Times New Roman" w:hAnsi="Georgia" w:cs="Times New Roman"/>
          <w:color w:val="000000" w:themeColor="text1"/>
          <w:sz w:val="28"/>
          <w:szCs w:val="28"/>
          <w:lang w:eastAsia="en-IN"/>
        </w:rPr>
      </w:pPr>
      <w:r w:rsidRPr="004B118D">
        <w:rPr>
          <w:rFonts w:ascii="Georgia" w:eastAsia="Times New Roman" w:hAnsi="Georgia" w:cs="Times New Roman"/>
          <w:color w:val="000000" w:themeColor="text1"/>
          <w:sz w:val="28"/>
          <w:szCs w:val="28"/>
          <w:lang w:eastAsia="en-IN"/>
        </w:rPr>
        <w:t>The cell acquisition segment is anticipated to hold the largest revenue by the end of 2035. The factors applicable to the growth of the segment include the rising applications of stem cells in treating various types of leukemia, lymphoma, and myeloma as well as the augmenting discovery of the mechanism of acquisition of stem-like properties by various cells owing to the rapidly rising incidences attributed to chronic disease and immune disorders worldwide. It was stated by the WHO in 2018 that about 9.6 million deaths were caused by cancer in that year. Moreover, the cell production segment is expected to garner the highest share in the upcoming years owing to the increasing development and expansion of its sub-segments.</w:t>
      </w:r>
    </w:p>
    <w:p w14:paraId="400105D2" w14:textId="6AF11CDA" w:rsidR="004B118D" w:rsidRPr="004B118D" w:rsidRDefault="004B118D" w:rsidP="0006133E">
      <w:pPr>
        <w:spacing w:line="360" w:lineRule="auto"/>
        <w:jc w:val="both"/>
        <w:rPr>
          <w:rStyle w:val="ui-provider"/>
          <w:rFonts w:ascii="Georgia" w:hAnsi="Georgia"/>
          <w:b/>
          <w:sz w:val="28"/>
          <w:szCs w:val="28"/>
        </w:rPr>
      </w:pPr>
      <w:r w:rsidRPr="004B118D">
        <w:rPr>
          <w:rStyle w:val="ui-provider"/>
          <w:rFonts w:ascii="Georgia" w:hAnsi="Georgia"/>
          <w:b/>
          <w:sz w:val="28"/>
          <w:szCs w:val="28"/>
        </w:rPr>
        <w:t xml:space="preserve">Request for customization @ </w:t>
      </w:r>
    </w:p>
    <w:p w14:paraId="3EECB77B" w14:textId="4BE1B3DF" w:rsidR="004B118D" w:rsidRPr="004B118D" w:rsidRDefault="00835B99" w:rsidP="0006133E">
      <w:pPr>
        <w:spacing w:line="360" w:lineRule="auto"/>
        <w:jc w:val="both"/>
        <w:rPr>
          <w:rFonts w:ascii="Georgia" w:hAnsi="Georgia"/>
          <w:sz w:val="28"/>
          <w:szCs w:val="28"/>
        </w:rPr>
      </w:pPr>
      <w:hyperlink r:id="rId10" w:history="1">
        <w:r w:rsidR="004B118D" w:rsidRPr="004B118D">
          <w:rPr>
            <w:rStyle w:val="Hyperlink"/>
            <w:rFonts w:ascii="Georgia" w:hAnsi="Georgia"/>
            <w:sz w:val="28"/>
            <w:szCs w:val="28"/>
          </w:rPr>
          <w:t>https://www.researchnester.com/customized-reports-1329</w:t>
        </w:r>
      </w:hyperlink>
      <w:r w:rsidR="004B118D" w:rsidRPr="004B118D">
        <w:rPr>
          <w:rFonts w:ascii="Georgia" w:hAnsi="Georgia"/>
          <w:sz w:val="28"/>
          <w:szCs w:val="28"/>
        </w:rPr>
        <w:t xml:space="preserve"> </w:t>
      </w:r>
    </w:p>
    <w:p w14:paraId="24B3E4A0" w14:textId="77777777" w:rsidR="00835B99" w:rsidRDefault="00835B99" w:rsidP="00835B99">
      <w:pPr>
        <w:spacing w:line="360" w:lineRule="auto"/>
        <w:jc w:val="both"/>
        <w:rPr>
          <w:rFonts w:ascii="Georgia" w:hAnsi="Georgia" w:cs="Arial"/>
          <w:sz w:val="28"/>
          <w:szCs w:val="28"/>
        </w:rPr>
      </w:pPr>
      <w:r>
        <w:rPr>
          <w:rFonts w:ascii="Georgia" w:hAnsi="Georgia" w:cs="Arial"/>
          <w:sz w:val="28"/>
          <w:szCs w:val="28"/>
        </w:rPr>
        <w:t>Research Nester is a leading service provider for strategic market research and consulting. We aim to provide unbiased, unparalleled market insights and industry analysis to help industries, conglomerates, and executives to take wise decisions for their future marketing strategy, expansion, investment, etc. We believe every business can expand to its new horizon, provided the right guidance at the right time is available through strategic minds. Our out of box thinking helps our clients to take wise decisions to avoid future uncertainties.</w:t>
      </w:r>
    </w:p>
    <w:p w14:paraId="2456A737" w14:textId="77777777" w:rsidR="00835B99" w:rsidRDefault="00835B99" w:rsidP="00835B99">
      <w:pPr>
        <w:spacing w:line="360" w:lineRule="auto"/>
        <w:jc w:val="both"/>
        <w:rPr>
          <w:rFonts w:ascii="Georgia" w:hAnsi="Georgia" w:cs="Arial"/>
          <w:b/>
          <w:sz w:val="28"/>
          <w:szCs w:val="28"/>
        </w:rPr>
      </w:pPr>
      <w:r>
        <w:rPr>
          <w:rFonts w:ascii="Georgia" w:hAnsi="Georgia" w:cs="Arial"/>
          <w:b/>
          <w:sz w:val="28"/>
          <w:szCs w:val="28"/>
        </w:rPr>
        <w:t>Contact for more Info:</w:t>
      </w:r>
    </w:p>
    <w:p w14:paraId="2B59C1B2" w14:textId="77777777" w:rsidR="00835B99" w:rsidRDefault="00835B99" w:rsidP="00835B99">
      <w:pPr>
        <w:pStyle w:val="NoSpacing"/>
        <w:spacing w:line="360" w:lineRule="auto"/>
        <w:jc w:val="both"/>
        <w:rPr>
          <w:rFonts w:ascii="Georgia" w:hAnsi="Georgia"/>
          <w:b/>
          <w:sz w:val="28"/>
          <w:szCs w:val="28"/>
        </w:rPr>
      </w:pPr>
      <w:r>
        <w:rPr>
          <w:rFonts w:ascii="Georgia" w:hAnsi="Georgia"/>
          <w:b/>
          <w:sz w:val="28"/>
          <w:szCs w:val="28"/>
        </w:rPr>
        <w:t>AJ Daniel</w:t>
      </w:r>
    </w:p>
    <w:p w14:paraId="2D68A5E7" w14:textId="77777777" w:rsidR="00835B99" w:rsidRDefault="00835B99" w:rsidP="00835B99">
      <w:pPr>
        <w:pStyle w:val="NoSpacing"/>
        <w:spacing w:line="360" w:lineRule="auto"/>
        <w:jc w:val="both"/>
        <w:rPr>
          <w:rFonts w:ascii="Georgia" w:hAnsi="Georgia"/>
          <w:b/>
          <w:sz w:val="28"/>
          <w:szCs w:val="28"/>
        </w:rPr>
      </w:pPr>
      <w:r>
        <w:rPr>
          <w:rFonts w:ascii="Georgia" w:hAnsi="Georgia"/>
          <w:b/>
          <w:sz w:val="28"/>
          <w:szCs w:val="28"/>
        </w:rPr>
        <w:t xml:space="preserve">Email: </w:t>
      </w:r>
      <w:hyperlink r:id="rId11" w:history="1">
        <w:r>
          <w:rPr>
            <w:rStyle w:val="Hyperlink"/>
            <w:rFonts w:ascii="Georgia" w:hAnsi="Georgia"/>
            <w:b/>
            <w:sz w:val="28"/>
            <w:szCs w:val="28"/>
          </w:rPr>
          <w:t>info@researchnester.com</w:t>
        </w:r>
      </w:hyperlink>
    </w:p>
    <w:p w14:paraId="22B15966" w14:textId="77777777" w:rsidR="00835B99" w:rsidRDefault="00835B99" w:rsidP="00835B99">
      <w:pPr>
        <w:pStyle w:val="NoSpacing"/>
        <w:spacing w:line="360" w:lineRule="auto"/>
        <w:jc w:val="both"/>
        <w:rPr>
          <w:rFonts w:ascii="Georgia" w:hAnsi="Georgia"/>
          <w:b/>
          <w:sz w:val="28"/>
          <w:szCs w:val="28"/>
        </w:rPr>
      </w:pPr>
      <w:r>
        <w:rPr>
          <w:rFonts w:ascii="Georgia" w:hAnsi="Georgia"/>
          <w:b/>
          <w:sz w:val="28"/>
          <w:szCs w:val="28"/>
        </w:rPr>
        <w:t xml:space="preserve">U.S. Phone: +1 646 586 9123 </w:t>
      </w:r>
    </w:p>
    <w:p w14:paraId="41949BF8" w14:textId="02258C8C" w:rsidR="004B118D" w:rsidRPr="00835B99" w:rsidRDefault="00835B99" w:rsidP="00835B99">
      <w:pPr>
        <w:spacing w:line="360" w:lineRule="auto"/>
        <w:jc w:val="both"/>
        <w:rPr>
          <w:rFonts w:ascii="Georgia" w:hAnsi="Georgia"/>
          <w:b/>
          <w:bCs/>
          <w:color w:val="FF0000"/>
          <w:sz w:val="28"/>
          <w:szCs w:val="28"/>
        </w:rPr>
      </w:pPr>
      <w:r>
        <w:rPr>
          <w:rStyle w:val="Hyperlink"/>
          <w:rFonts w:ascii="Georgia" w:hAnsi="Georgia"/>
          <w:b/>
          <w:color w:val="000000" w:themeColor="text1"/>
          <w:sz w:val="28"/>
          <w:szCs w:val="28"/>
        </w:rPr>
        <w:t>U.K. Phone: +44 203 608 5919</w:t>
      </w:r>
    </w:p>
    <w:sectPr w:rsidR="004B118D" w:rsidRPr="00835B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345B2"/>
    <w:multiLevelType w:val="multilevel"/>
    <w:tmpl w:val="0422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AC62B0"/>
    <w:multiLevelType w:val="hybridMultilevel"/>
    <w:tmpl w:val="8A7ADD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68486A"/>
    <w:multiLevelType w:val="hybridMultilevel"/>
    <w:tmpl w:val="86E8FD1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4E3604"/>
    <w:multiLevelType w:val="multilevel"/>
    <w:tmpl w:val="E854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465878"/>
    <w:multiLevelType w:val="hybridMultilevel"/>
    <w:tmpl w:val="8B0E2A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BE52F56"/>
    <w:multiLevelType w:val="hybridMultilevel"/>
    <w:tmpl w:val="391E9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F270199"/>
    <w:multiLevelType w:val="multilevel"/>
    <w:tmpl w:val="050A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7B356D"/>
    <w:multiLevelType w:val="hybridMultilevel"/>
    <w:tmpl w:val="C360B618"/>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8" w15:restartNumberingAfterBreak="0">
    <w:nsid w:val="73B71157"/>
    <w:multiLevelType w:val="hybridMultilevel"/>
    <w:tmpl w:val="CF1E2F5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4236487">
    <w:abstractNumId w:val="0"/>
  </w:num>
  <w:num w:numId="2" w16cid:durableId="1437675634">
    <w:abstractNumId w:val="3"/>
  </w:num>
  <w:num w:numId="3" w16cid:durableId="951739434">
    <w:abstractNumId w:val="5"/>
  </w:num>
  <w:num w:numId="4" w16cid:durableId="23530365">
    <w:abstractNumId w:val="6"/>
  </w:num>
  <w:num w:numId="5" w16cid:durableId="244153112">
    <w:abstractNumId w:val="2"/>
  </w:num>
  <w:num w:numId="6" w16cid:durableId="918058790">
    <w:abstractNumId w:val="8"/>
  </w:num>
  <w:num w:numId="7" w16cid:durableId="135490663">
    <w:abstractNumId w:val="7"/>
  </w:num>
  <w:num w:numId="8" w16cid:durableId="714281663">
    <w:abstractNumId w:val="4"/>
  </w:num>
  <w:num w:numId="9" w16cid:durableId="917982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33E"/>
    <w:rsid w:val="0006133E"/>
    <w:rsid w:val="000778E7"/>
    <w:rsid w:val="001875E4"/>
    <w:rsid w:val="001C3455"/>
    <w:rsid w:val="001E60BB"/>
    <w:rsid w:val="00284781"/>
    <w:rsid w:val="00291A6E"/>
    <w:rsid w:val="002B73CA"/>
    <w:rsid w:val="002C7536"/>
    <w:rsid w:val="004335B7"/>
    <w:rsid w:val="00486C87"/>
    <w:rsid w:val="004B118D"/>
    <w:rsid w:val="005322CA"/>
    <w:rsid w:val="00650243"/>
    <w:rsid w:val="006B2C25"/>
    <w:rsid w:val="00706409"/>
    <w:rsid w:val="007E09E4"/>
    <w:rsid w:val="00835B99"/>
    <w:rsid w:val="00835F46"/>
    <w:rsid w:val="0097204E"/>
    <w:rsid w:val="00975005"/>
    <w:rsid w:val="00A31165"/>
    <w:rsid w:val="00A56A1D"/>
    <w:rsid w:val="00AA36DF"/>
    <w:rsid w:val="00B1678E"/>
    <w:rsid w:val="00B5715D"/>
    <w:rsid w:val="00BD7BD5"/>
    <w:rsid w:val="00C30203"/>
    <w:rsid w:val="00CF4497"/>
    <w:rsid w:val="00E52817"/>
    <w:rsid w:val="00EE1C3F"/>
    <w:rsid w:val="00EF3229"/>
    <w:rsid w:val="00FC2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776DC"/>
  <w15:chartTrackingRefBased/>
  <w15:docId w15:val="{CC7327E3-C376-43F1-B44E-958983829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3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613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06133E"/>
  </w:style>
  <w:style w:type="character" w:customStyle="1" w:styleId="eop">
    <w:name w:val="eop"/>
    <w:basedOn w:val="DefaultParagraphFont"/>
    <w:rsid w:val="0006133E"/>
  </w:style>
  <w:style w:type="paragraph" w:styleId="ListParagraph">
    <w:name w:val="List Paragraph"/>
    <w:basedOn w:val="Normal"/>
    <w:uiPriority w:val="34"/>
    <w:qFormat/>
    <w:rsid w:val="0006133E"/>
    <w:pPr>
      <w:ind w:left="720"/>
      <w:contextualSpacing/>
    </w:pPr>
  </w:style>
  <w:style w:type="character" w:styleId="Hyperlink">
    <w:name w:val="Hyperlink"/>
    <w:basedOn w:val="DefaultParagraphFont"/>
    <w:uiPriority w:val="99"/>
    <w:unhideWhenUsed/>
    <w:rsid w:val="0006133E"/>
    <w:rPr>
      <w:color w:val="0563C1"/>
      <w:u w:val="single"/>
    </w:rPr>
  </w:style>
  <w:style w:type="character" w:styleId="CommentReference">
    <w:name w:val="annotation reference"/>
    <w:basedOn w:val="DefaultParagraphFont"/>
    <w:uiPriority w:val="99"/>
    <w:semiHidden/>
    <w:unhideWhenUsed/>
    <w:rsid w:val="005322CA"/>
    <w:rPr>
      <w:sz w:val="16"/>
      <w:szCs w:val="16"/>
    </w:rPr>
  </w:style>
  <w:style w:type="paragraph" w:styleId="CommentText">
    <w:name w:val="annotation text"/>
    <w:basedOn w:val="Normal"/>
    <w:link w:val="CommentTextChar"/>
    <w:uiPriority w:val="99"/>
    <w:semiHidden/>
    <w:unhideWhenUsed/>
    <w:rsid w:val="005322CA"/>
    <w:pPr>
      <w:spacing w:line="240" w:lineRule="auto"/>
    </w:pPr>
    <w:rPr>
      <w:sz w:val="20"/>
      <w:szCs w:val="20"/>
    </w:rPr>
  </w:style>
  <w:style w:type="character" w:customStyle="1" w:styleId="CommentTextChar">
    <w:name w:val="Comment Text Char"/>
    <w:basedOn w:val="DefaultParagraphFont"/>
    <w:link w:val="CommentText"/>
    <w:uiPriority w:val="99"/>
    <w:semiHidden/>
    <w:rsid w:val="005322CA"/>
    <w:rPr>
      <w:sz w:val="20"/>
      <w:szCs w:val="20"/>
      <w:lang w:val="en-IN"/>
    </w:rPr>
  </w:style>
  <w:style w:type="paragraph" w:styleId="CommentSubject">
    <w:name w:val="annotation subject"/>
    <w:basedOn w:val="CommentText"/>
    <w:next w:val="CommentText"/>
    <w:link w:val="CommentSubjectChar"/>
    <w:uiPriority w:val="99"/>
    <w:semiHidden/>
    <w:unhideWhenUsed/>
    <w:rsid w:val="005322CA"/>
    <w:rPr>
      <w:b/>
      <w:bCs/>
    </w:rPr>
  </w:style>
  <w:style w:type="character" w:customStyle="1" w:styleId="CommentSubjectChar">
    <w:name w:val="Comment Subject Char"/>
    <w:basedOn w:val="CommentTextChar"/>
    <w:link w:val="CommentSubject"/>
    <w:uiPriority w:val="99"/>
    <w:semiHidden/>
    <w:rsid w:val="005322CA"/>
    <w:rPr>
      <w:b/>
      <w:bCs/>
      <w:sz w:val="20"/>
      <w:szCs w:val="20"/>
      <w:lang w:val="en-IN"/>
    </w:rPr>
  </w:style>
  <w:style w:type="character" w:customStyle="1" w:styleId="ui-provider">
    <w:name w:val="ui-provider"/>
    <w:basedOn w:val="DefaultParagraphFont"/>
    <w:rsid w:val="004B118D"/>
  </w:style>
  <w:style w:type="paragraph" w:styleId="NoSpacing">
    <w:name w:val="No Spacing"/>
    <w:uiPriority w:val="1"/>
    <w:qFormat/>
    <w:rsid w:val="00835B99"/>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nester.com/reports/stem-cell-treatment-market/1329"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info@researchnester.com" TargetMode="External"/><Relationship Id="rId5" Type="http://schemas.openxmlformats.org/officeDocument/2006/relationships/styles" Target="styles.xml"/><Relationship Id="rId10" Type="http://schemas.openxmlformats.org/officeDocument/2006/relationships/hyperlink" Target="https://www.researchnester.com/customized-reports-1329" TargetMode="External"/><Relationship Id="rId4" Type="http://schemas.openxmlformats.org/officeDocument/2006/relationships/numbering" Target="numbering.xml"/><Relationship Id="rId9" Type="http://schemas.openxmlformats.org/officeDocument/2006/relationships/hyperlink" Target="https://www.researchnester.com/sample-request-13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0A81CB926DF642A04F0C348E81E3E8" ma:contentTypeVersion="12" ma:contentTypeDescription="Create a new document." ma:contentTypeScope="" ma:versionID="6143df0cc846702ed7b2209ce090121a">
  <xsd:schema xmlns:xsd="http://www.w3.org/2001/XMLSchema" xmlns:xs="http://www.w3.org/2001/XMLSchema" xmlns:p="http://schemas.microsoft.com/office/2006/metadata/properties" xmlns:ns3="1daf9fad-4dfb-4ba1-8e0e-4acbedace95c" xmlns:ns4="7633d76f-442c-476c-a1ca-1e1e4a001e6c" targetNamespace="http://schemas.microsoft.com/office/2006/metadata/properties" ma:root="true" ma:fieldsID="d8c507715438bbc918a743f84a45f82e" ns3:_="" ns4:_="">
    <xsd:import namespace="1daf9fad-4dfb-4ba1-8e0e-4acbedace95c"/>
    <xsd:import namespace="7633d76f-442c-476c-a1ca-1e1e4a001e6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af9fad-4dfb-4ba1-8e0e-4acbedace95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33d76f-442c-476c-a1ca-1e1e4a001e6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7633d76f-442c-476c-a1ca-1e1e4a001e6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A76DC4-BC7D-4A74-8F79-64988B67C1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af9fad-4dfb-4ba1-8e0e-4acbedace95c"/>
    <ds:schemaRef ds:uri="7633d76f-442c-476c-a1ca-1e1e4a001e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2DE5D1-0435-4D25-91BB-C0F0CEB0AAF0}">
  <ds:schemaRefs>
    <ds:schemaRef ds:uri="http://schemas.microsoft.com/office/2006/metadata/properties"/>
    <ds:schemaRef ds:uri="http://schemas.microsoft.com/office/infopath/2007/PartnerControls"/>
    <ds:schemaRef ds:uri="7633d76f-442c-476c-a1ca-1e1e4a001e6c"/>
  </ds:schemaRefs>
</ds:datastoreItem>
</file>

<file path=customXml/itemProps3.xml><?xml version="1.0" encoding="utf-8"?>
<ds:datastoreItem xmlns:ds="http://schemas.openxmlformats.org/officeDocument/2006/customXml" ds:itemID="{CF839959-8C88-4FC2-A1B8-6D5FB42247E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Gulistanbano Amirulhassan Sayed</dc:creator>
  <cp:keywords/>
  <dc:description/>
  <cp:lastModifiedBy>Guddu Kumar</cp:lastModifiedBy>
  <cp:revision>2</cp:revision>
  <dcterms:created xsi:type="dcterms:W3CDTF">2024-06-06T07:15:00Z</dcterms:created>
  <dcterms:modified xsi:type="dcterms:W3CDTF">2024-06-06T07:15:00Z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9495c2e7-fc31-4475-9cf2-447a333819a4</vt:lpwstr>
  </property>
  <property fmtid="{D5CDD505-2E9C-101B-9397-08002B2CF9AE}" pid="3" name="ContentTypeId">
    <vt:lpwstr>0x0101004B0A81CB926DF642A04F0C348E81E3E8</vt:lpwstr>
  </property>
</Properties>
</file>