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C0929" w14:textId="77777777" w:rsidR="00906970" w:rsidRDefault="00000000">
      <w:pPr>
        <w:pStyle w:val="Title"/>
        <w:keepNext w:val="0"/>
        <w:keepLines w:val="0"/>
        <w:spacing w:before="320" w:after="0" w:line="240" w:lineRule="auto"/>
        <w:rPr>
          <w:rFonts w:ascii="Proxima Nova" w:eastAsia="Proxima Nova" w:hAnsi="Proxima Nova" w:cs="Proxima Nova"/>
          <w:b/>
          <w:color w:val="4A86E8"/>
          <w:sz w:val="58"/>
          <w:szCs w:val="58"/>
        </w:rPr>
      </w:pPr>
      <w:bookmarkStart w:id="0" w:name="_5x0d5h95i329" w:colFirst="0" w:colLast="0"/>
      <w:bookmarkEnd w:id="0"/>
      <w:r>
        <w:rPr>
          <w:rFonts w:ascii="Google Sans" w:eastAsia="Google Sans" w:hAnsi="Google Sans" w:cs="Google Sans"/>
          <w:b/>
          <w:color w:val="4A86E8"/>
          <w:sz w:val="58"/>
          <w:szCs w:val="58"/>
        </w:rPr>
        <w:t>Vulnerability Assessment Report</w:t>
      </w:r>
    </w:p>
    <w:p w14:paraId="3768635B" w14:textId="77777777" w:rsidR="00906970" w:rsidRDefault="00000000">
      <w:pPr>
        <w:pStyle w:val="Subtitle"/>
        <w:keepNext w:val="0"/>
        <w:keepLines w:val="0"/>
        <w:spacing w:after="0" w:line="240" w:lineRule="auto"/>
        <w:rPr>
          <w:rFonts w:ascii="Google Sans" w:eastAsia="Google Sans" w:hAnsi="Google Sans" w:cs="Google Sans"/>
          <w:b/>
          <w:sz w:val="28"/>
          <w:szCs w:val="28"/>
        </w:rPr>
      </w:pPr>
      <w:bookmarkStart w:id="1" w:name="_af80tl7prv5v" w:colFirst="0" w:colLast="0"/>
      <w:bookmarkEnd w:id="1"/>
      <w:r>
        <w:rPr>
          <w:rFonts w:ascii="Google Sans" w:eastAsia="Google Sans" w:hAnsi="Google Sans" w:cs="Google Sans"/>
          <w:b/>
          <w:sz w:val="28"/>
          <w:szCs w:val="28"/>
        </w:rPr>
        <w:t>1</w:t>
      </w:r>
      <w:r>
        <w:rPr>
          <w:rFonts w:ascii="Google Sans" w:eastAsia="Google Sans" w:hAnsi="Google Sans" w:cs="Google Sans"/>
          <w:b/>
          <w:sz w:val="28"/>
          <w:szCs w:val="28"/>
          <w:vertAlign w:val="superscript"/>
        </w:rPr>
        <w:t>st</w:t>
      </w:r>
      <w:r>
        <w:rPr>
          <w:rFonts w:ascii="Google Sans" w:eastAsia="Google Sans" w:hAnsi="Google Sans" w:cs="Google Sans"/>
          <w:b/>
          <w:sz w:val="28"/>
          <w:szCs w:val="28"/>
        </w:rPr>
        <w:t xml:space="preserve"> January 20XX</w:t>
      </w:r>
    </w:p>
    <w:p w14:paraId="3AB85E65" w14:textId="77777777" w:rsidR="00906970" w:rsidRDefault="00000000">
      <w:pPr>
        <w:pStyle w:val="Subtitle"/>
        <w:keepNext w:val="0"/>
        <w:keepLines w:val="0"/>
        <w:spacing w:after="0" w:line="240" w:lineRule="auto"/>
        <w:rPr>
          <w:rFonts w:ascii="Google Sans" w:eastAsia="Google Sans" w:hAnsi="Google Sans" w:cs="Google Sans"/>
          <w:b/>
          <w:sz w:val="28"/>
          <w:szCs w:val="28"/>
        </w:rPr>
      </w:pPr>
      <w:bookmarkStart w:id="2" w:name="_nhcy8rpxthcf" w:colFirst="0" w:colLast="0"/>
      <w:bookmarkEnd w:id="2"/>
      <w:r>
        <w:pict w14:anchorId="482BFC91">
          <v:rect id="_x0000_i1025" style="width:0;height:1.5pt" o:hralign="center" o:hrstd="t" o:hr="t" fillcolor="#a0a0a0" stroked="f"/>
        </w:pict>
      </w:r>
    </w:p>
    <w:p w14:paraId="4E0A1558" w14:textId="77777777" w:rsidR="00906970"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buc6q0k08dmn" w:colFirst="0" w:colLast="0"/>
      <w:bookmarkEnd w:id="3"/>
      <w:r>
        <w:rPr>
          <w:rFonts w:ascii="Proxima Nova" w:eastAsia="Proxima Nova" w:hAnsi="Proxima Nova" w:cs="Proxima Nova"/>
          <w:b/>
          <w:color w:val="353744"/>
          <w:sz w:val="28"/>
          <w:szCs w:val="28"/>
        </w:rPr>
        <w:t>System Description</w:t>
      </w:r>
    </w:p>
    <w:p w14:paraId="73E1A3D6" w14:textId="77777777" w:rsidR="00906970"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325744E6" w14:textId="77777777" w:rsidR="00906970"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4" w:name="_e64wndl8jmz1" w:colFirst="0" w:colLast="0"/>
      <w:bookmarkEnd w:id="4"/>
      <w:r>
        <w:rPr>
          <w:rFonts w:ascii="Proxima Nova" w:eastAsia="Proxima Nova" w:hAnsi="Proxima Nova" w:cs="Proxima Nova"/>
          <w:b/>
          <w:color w:val="353744"/>
          <w:sz w:val="28"/>
          <w:szCs w:val="28"/>
        </w:rPr>
        <w:t>Scope</w:t>
      </w:r>
    </w:p>
    <w:p w14:paraId="58FB04A5" w14:textId="77777777" w:rsidR="00906970" w:rsidRDefault="00000000">
      <w:pPr>
        <w:spacing w:before="200" w:line="312" w:lineRule="auto"/>
        <w:rPr>
          <w:rFonts w:ascii="Google Sans" w:eastAsia="Google Sans" w:hAnsi="Google Sans" w:cs="Google Sans"/>
          <w:color w:val="353744"/>
        </w:rPr>
      </w:pPr>
      <w:r>
        <w:rPr>
          <w:rFonts w:ascii="Google Sans" w:eastAsia="Google Sans" w:hAnsi="Google Sans" w:cs="Google Sans"/>
          <w:color w:val="353744"/>
        </w:rPr>
        <w:t xml:space="preserve">The scope of this vulnerability assessment relates to the current access controls of the system. The assessment will cover a period of three months, from June 20XX to August 20XX. </w:t>
      </w:r>
      <w:hyperlink r:id="rId5" w:anchor="heading=h.hvbcmqwzo9do">
        <w:r>
          <w:rPr>
            <w:rFonts w:ascii="Google Sans" w:eastAsia="Google Sans" w:hAnsi="Google Sans" w:cs="Google Sans"/>
            <w:color w:val="1155CC"/>
            <w:u w:val="single"/>
          </w:rPr>
          <w:t>NIST SP 800-30 Rev. 1</w:t>
        </w:r>
      </w:hyperlink>
      <w:r>
        <w:rPr>
          <w:rFonts w:ascii="Google Sans" w:eastAsia="Google Sans" w:hAnsi="Google Sans" w:cs="Google Sans"/>
          <w:color w:val="353744"/>
        </w:rPr>
        <w:t xml:space="preserve"> is used to guide the risk analysis of the information system.</w:t>
      </w:r>
    </w:p>
    <w:p w14:paraId="30EE06A8" w14:textId="77777777" w:rsidR="00906970"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5" w:name="_oymnw3nlvwib" w:colFirst="0" w:colLast="0"/>
      <w:bookmarkEnd w:id="5"/>
      <w:r>
        <w:rPr>
          <w:rFonts w:ascii="Proxima Nova" w:eastAsia="Proxima Nova" w:hAnsi="Proxima Nova" w:cs="Proxima Nova"/>
          <w:b/>
          <w:color w:val="353744"/>
          <w:sz w:val="28"/>
          <w:szCs w:val="28"/>
        </w:rPr>
        <w:t>Purpose</w:t>
      </w:r>
    </w:p>
    <w:p w14:paraId="2281562B" w14:textId="77777777" w:rsidR="00FF078E" w:rsidRDefault="00FF078E" w:rsidP="00F65F11">
      <w:pPr>
        <w:ind w:left="360"/>
        <w:rPr>
          <w:rFonts w:ascii="Google Sans" w:eastAsia="Google Sans" w:hAnsi="Google Sans" w:cs="Google Sans"/>
          <w:color w:val="353744"/>
        </w:rPr>
      </w:pPr>
    </w:p>
    <w:p w14:paraId="4C016D3E" w14:textId="511B61BC" w:rsidR="00F65F11" w:rsidRDefault="00F65F11" w:rsidP="00F65F11">
      <w:pPr>
        <w:ind w:left="360"/>
        <w:rPr>
          <w:rFonts w:ascii="Google Sans" w:eastAsia="Google Sans" w:hAnsi="Google Sans" w:cs="Google Sans"/>
          <w:i/>
          <w:color w:val="353744"/>
        </w:rPr>
      </w:pPr>
      <w:r>
        <w:rPr>
          <w:rFonts w:ascii="Google Sans" w:eastAsia="Google Sans" w:hAnsi="Google Sans" w:cs="Google Sans"/>
          <w:i/>
          <w:color w:val="353744"/>
        </w:rPr>
        <w:t>The database server is the only way for the business to continue it’s operations normally without the database server normal business operations would not be possible, It’s very important to secure the data on the server because it contains sensitive information most likely about the business and its customers.</w:t>
      </w:r>
    </w:p>
    <w:p w14:paraId="4B621D90" w14:textId="77777777" w:rsidR="00906970"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6" w:name="_i2ip4lwifo50" w:colFirst="0" w:colLast="0"/>
      <w:bookmarkEnd w:id="6"/>
      <w:r>
        <w:rPr>
          <w:rFonts w:ascii="Proxima Nova" w:eastAsia="Proxima Nova" w:hAnsi="Proxima Nova" w:cs="Proxima Nova"/>
          <w:b/>
          <w:color w:val="353744"/>
          <w:sz w:val="28"/>
          <w:szCs w:val="28"/>
        </w:rPr>
        <w:t>Risk Assessment</w:t>
      </w:r>
    </w:p>
    <w:p w14:paraId="0E150877" w14:textId="77777777" w:rsidR="00906970" w:rsidRDefault="00906970">
      <w:pPr>
        <w:spacing w:line="312" w:lineRule="auto"/>
        <w:rPr>
          <w:rFonts w:ascii="Google Sans" w:eastAsia="Google Sans" w:hAnsi="Google Sans" w:cs="Google Sans"/>
          <w:color w:val="353744"/>
        </w:rP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906970" w14:paraId="1FAB4A3D" w14:textId="77777777">
        <w:tc>
          <w:tcPr>
            <w:tcW w:w="1860" w:type="dxa"/>
            <w:shd w:val="clear" w:color="auto" w:fill="C9DAF8"/>
            <w:tcMar>
              <w:top w:w="100" w:type="dxa"/>
              <w:left w:w="100" w:type="dxa"/>
              <w:bottom w:w="100" w:type="dxa"/>
              <w:right w:w="100" w:type="dxa"/>
            </w:tcMar>
          </w:tcPr>
          <w:p w14:paraId="57F266F7" w14:textId="77777777" w:rsidR="00906970"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source</w:t>
            </w:r>
          </w:p>
        </w:tc>
        <w:tc>
          <w:tcPr>
            <w:tcW w:w="3615" w:type="dxa"/>
            <w:shd w:val="clear" w:color="auto" w:fill="C9DAF8"/>
            <w:tcMar>
              <w:top w:w="100" w:type="dxa"/>
              <w:left w:w="100" w:type="dxa"/>
              <w:bottom w:w="100" w:type="dxa"/>
              <w:right w:w="100" w:type="dxa"/>
            </w:tcMar>
          </w:tcPr>
          <w:p w14:paraId="0964F23E" w14:textId="77777777" w:rsidR="00906970"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Threat event</w:t>
            </w:r>
          </w:p>
        </w:tc>
        <w:tc>
          <w:tcPr>
            <w:tcW w:w="1395" w:type="dxa"/>
            <w:shd w:val="clear" w:color="auto" w:fill="C9DAF8"/>
            <w:tcMar>
              <w:top w:w="100" w:type="dxa"/>
              <w:left w:w="100" w:type="dxa"/>
              <w:bottom w:w="100" w:type="dxa"/>
              <w:right w:w="100" w:type="dxa"/>
            </w:tcMar>
          </w:tcPr>
          <w:p w14:paraId="00ADE635" w14:textId="77777777" w:rsidR="00906970"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Likelihood</w:t>
            </w:r>
          </w:p>
        </w:tc>
        <w:tc>
          <w:tcPr>
            <w:tcW w:w="1320" w:type="dxa"/>
            <w:shd w:val="clear" w:color="auto" w:fill="C9DAF8"/>
            <w:tcMar>
              <w:top w:w="100" w:type="dxa"/>
              <w:left w:w="100" w:type="dxa"/>
              <w:bottom w:w="100" w:type="dxa"/>
              <w:right w:w="100" w:type="dxa"/>
            </w:tcMar>
          </w:tcPr>
          <w:p w14:paraId="2A651CC7" w14:textId="77777777" w:rsidR="00906970"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Severity</w:t>
            </w:r>
          </w:p>
        </w:tc>
        <w:tc>
          <w:tcPr>
            <w:tcW w:w="1110" w:type="dxa"/>
            <w:shd w:val="clear" w:color="auto" w:fill="C9DAF8"/>
            <w:tcMar>
              <w:top w:w="100" w:type="dxa"/>
              <w:left w:w="100" w:type="dxa"/>
              <w:bottom w:w="100" w:type="dxa"/>
              <w:right w:w="100" w:type="dxa"/>
            </w:tcMar>
          </w:tcPr>
          <w:p w14:paraId="040DC781" w14:textId="77777777" w:rsidR="00906970" w:rsidRDefault="00000000">
            <w:pPr>
              <w:widowControl w:val="0"/>
              <w:spacing w:line="240" w:lineRule="auto"/>
              <w:rPr>
                <w:rFonts w:ascii="Google Sans" w:eastAsia="Google Sans" w:hAnsi="Google Sans" w:cs="Google Sans"/>
                <w:b/>
                <w:color w:val="353744"/>
              </w:rPr>
            </w:pPr>
            <w:r>
              <w:rPr>
                <w:rFonts w:ascii="Google Sans" w:eastAsia="Google Sans" w:hAnsi="Google Sans" w:cs="Google Sans"/>
                <w:b/>
                <w:color w:val="353744"/>
              </w:rPr>
              <w:t>Risk</w:t>
            </w:r>
          </w:p>
        </w:tc>
      </w:tr>
      <w:tr w:rsidR="00906970" w14:paraId="6441DDEC" w14:textId="77777777">
        <w:tc>
          <w:tcPr>
            <w:tcW w:w="1860" w:type="dxa"/>
            <w:shd w:val="clear" w:color="auto" w:fill="auto"/>
            <w:tcMar>
              <w:top w:w="100" w:type="dxa"/>
              <w:left w:w="100" w:type="dxa"/>
              <w:bottom w:w="100" w:type="dxa"/>
              <w:right w:w="100" w:type="dxa"/>
            </w:tcMar>
          </w:tcPr>
          <w:p w14:paraId="094BC1FE" w14:textId="77777777" w:rsidR="00906970"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E.g. Competitor</w:t>
            </w:r>
          </w:p>
        </w:tc>
        <w:tc>
          <w:tcPr>
            <w:tcW w:w="3615" w:type="dxa"/>
            <w:shd w:val="clear" w:color="auto" w:fill="auto"/>
            <w:tcMar>
              <w:top w:w="100" w:type="dxa"/>
              <w:left w:w="100" w:type="dxa"/>
              <w:bottom w:w="100" w:type="dxa"/>
              <w:right w:w="100" w:type="dxa"/>
            </w:tcMar>
          </w:tcPr>
          <w:p w14:paraId="3A5DF578" w14:textId="77777777" w:rsidR="00906970"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Obtain sensitive information via exfiltration</w:t>
            </w:r>
          </w:p>
        </w:tc>
        <w:tc>
          <w:tcPr>
            <w:tcW w:w="1395" w:type="dxa"/>
            <w:shd w:val="clear" w:color="auto" w:fill="auto"/>
            <w:tcMar>
              <w:top w:w="100" w:type="dxa"/>
              <w:left w:w="100" w:type="dxa"/>
              <w:bottom w:w="100" w:type="dxa"/>
              <w:right w:w="100" w:type="dxa"/>
            </w:tcMar>
          </w:tcPr>
          <w:p w14:paraId="419EC3AA" w14:textId="77777777" w:rsidR="00906970"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02C5226F" w14:textId="77777777" w:rsidR="00906970"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5FC6AF59" w14:textId="77777777" w:rsidR="00906970" w:rsidRDefault="00000000">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r w:rsidR="00906970" w14:paraId="5143EAD5" w14:textId="77777777">
        <w:tc>
          <w:tcPr>
            <w:tcW w:w="1860" w:type="dxa"/>
            <w:shd w:val="clear" w:color="auto" w:fill="auto"/>
            <w:tcMar>
              <w:top w:w="100" w:type="dxa"/>
              <w:left w:w="100" w:type="dxa"/>
              <w:bottom w:w="100" w:type="dxa"/>
              <w:right w:w="100" w:type="dxa"/>
            </w:tcMar>
          </w:tcPr>
          <w:p w14:paraId="4DEB897D" w14:textId="44166554" w:rsidR="00906970" w:rsidRDefault="009C7BC7">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Hackers</w:t>
            </w:r>
          </w:p>
        </w:tc>
        <w:tc>
          <w:tcPr>
            <w:tcW w:w="3615" w:type="dxa"/>
            <w:shd w:val="clear" w:color="auto" w:fill="auto"/>
            <w:tcMar>
              <w:top w:w="100" w:type="dxa"/>
              <w:left w:w="100" w:type="dxa"/>
              <w:bottom w:w="100" w:type="dxa"/>
              <w:right w:w="100" w:type="dxa"/>
            </w:tcMar>
          </w:tcPr>
          <w:p w14:paraId="600669AF" w14:textId="0428F306" w:rsidR="00906970" w:rsidRDefault="009C7BC7">
            <w:pPr>
              <w:widowControl w:val="0"/>
              <w:spacing w:line="240" w:lineRule="auto"/>
              <w:rPr>
                <w:rFonts w:ascii="Google Sans" w:eastAsia="Google Sans" w:hAnsi="Google Sans" w:cs="Google Sans"/>
                <w:i/>
                <w:color w:val="353744"/>
              </w:rPr>
            </w:pPr>
            <w:r w:rsidRPr="009C7BC7">
              <w:rPr>
                <w:rFonts w:ascii="Google Sans" w:eastAsia="Google Sans" w:hAnsi="Google Sans" w:cs="Google Sans"/>
                <w:i/>
                <w:color w:val="353744"/>
              </w:rPr>
              <w:t>Conduct Denial of Service (DoS) attacks.</w:t>
            </w:r>
          </w:p>
        </w:tc>
        <w:tc>
          <w:tcPr>
            <w:tcW w:w="1395" w:type="dxa"/>
            <w:shd w:val="clear" w:color="auto" w:fill="auto"/>
            <w:tcMar>
              <w:top w:w="100" w:type="dxa"/>
              <w:left w:w="100" w:type="dxa"/>
              <w:bottom w:w="100" w:type="dxa"/>
              <w:right w:w="100" w:type="dxa"/>
            </w:tcMar>
          </w:tcPr>
          <w:p w14:paraId="71114047" w14:textId="4A74314E" w:rsidR="00906970" w:rsidRDefault="009C7BC7">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320" w:type="dxa"/>
            <w:shd w:val="clear" w:color="auto" w:fill="auto"/>
            <w:tcMar>
              <w:top w:w="100" w:type="dxa"/>
              <w:left w:w="100" w:type="dxa"/>
              <w:bottom w:w="100" w:type="dxa"/>
              <w:right w:w="100" w:type="dxa"/>
            </w:tcMar>
          </w:tcPr>
          <w:p w14:paraId="3DDBDE9A" w14:textId="66AFCAB0" w:rsidR="00906970" w:rsidRDefault="009C7BC7">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2</w:t>
            </w:r>
          </w:p>
        </w:tc>
        <w:tc>
          <w:tcPr>
            <w:tcW w:w="1110" w:type="dxa"/>
            <w:shd w:val="clear" w:color="auto" w:fill="auto"/>
            <w:tcMar>
              <w:top w:w="100" w:type="dxa"/>
              <w:left w:w="100" w:type="dxa"/>
              <w:bottom w:w="100" w:type="dxa"/>
              <w:right w:w="100" w:type="dxa"/>
            </w:tcMar>
          </w:tcPr>
          <w:p w14:paraId="36F788B2" w14:textId="69CB6A2B" w:rsidR="00906970" w:rsidRDefault="009C7BC7">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6</w:t>
            </w:r>
          </w:p>
        </w:tc>
      </w:tr>
      <w:tr w:rsidR="00906970" w14:paraId="73501B03" w14:textId="77777777">
        <w:tc>
          <w:tcPr>
            <w:tcW w:w="1860" w:type="dxa"/>
            <w:shd w:val="clear" w:color="auto" w:fill="auto"/>
            <w:tcMar>
              <w:top w:w="100" w:type="dxa"/>
              <w:left w:w="100" w:type="dxa"/>
              <w:bottom w:w="100" w:type="dxa"/>
              <w:right w:w="100" w:type="dxa"/>
            </w:tcMar>
          </w:tcPr>
          <w:p w14:paraId="3594C2E0" w14:textId="106CD39D" w:rsidR="00906970" w:rsidRDefault="009C7BC7">
            <w:pPr>
              <w:widowControl w:val="0"/>
              <w:spacing w:line="240" w:lineRule="auto"/>
              <w:rPr>
                <w:rFonts w:ascii="Google Sans" w:eastAsia="Google Sans" w:hAnsi="Google Sans" w:cs="Google Sans"/>
                <w:i/>
                <w:color w:val="353744"/>
              </w:rPr>
            </w:pPr>
            <w:r w:rsidRPr="009C7BC7">
              <w:rPr>
                <w:rFonts w:ascii="Google Sans" w:eastAsia="Google Sans" w:hAnsi="Google Sans" w:cs="Google Sans"/>
                <w:i/>
                <w:color w:val="353744"/>
              </w:rPr>
              <w:t xml:space="preserve">Advanced persistent </w:t>
            </w:r>
            <w:r w:rsidRPr="009C7BC7">
              <w:rPr>
                <w:rFonts w:ascii="Google Sans" w:eastAsia="Google Sans" w:hAnsi="Google Sans" w:cs="Google Sans"/>
                <w:i/>
                <w:color w:val="353744"/>
              </w:rPr>
              <w:lastRenderedPageBreak/>
              <w:t>threat (APT)</w:t>
            </w:r>
          </w:p>
        </w:tc>
        <w:tc>
          <w:tcPr>
            <w:tcW w:w="3615" w:type="dxa"/>
            <w:shd w:val="clear" w:color="auto" w:fill="auto"/>
            <w:tcMar>
              <w:top w:w="100" w:type="dxa"/>
              <w:left w:w="100" w:type="dxa"/>
              <w:bottom w:w="100" w:type="dxa"/>
              <w:right w:w="100" w:type="dxa"/>
            </w:tcMar>
          </w:tcPr>
          <w:p w14:paraId="2704C885" w14:textId="58530A5E" w:rsidR="00906970" w:rsidRDefault="009C7BC7">
            <w:pPr>
              <w:widowControl w:val="0"/>
              <w:spacing w:line="240" w:lineRule="auto"/>
              <w:rPr>
                <w:rFonts w:ascii="Google Sans" w:eastAsia="Google Sans" w:hAnsi="Google Sans" w:cs="Google Sans"/>
                <w:i/>
                <w:color w:val="353744"/>
              </w:rPr>
            </w:pPr>
            <w:r w:rsidRPr="009C7BC7">
              <w:rPr>
                <w:rFonts w:ascii="Google Sans" w:eastAsia="Google Sans" w:hAnsi="Google Sans" w:cs="Google Sans"/>
                <w:i/>
                <w:color w:val="353744"/>
              </w:rPr>
              <w:lastRenderedPageBreak/>
              <w:t xml:space="preserve">Install persistent and targeted network sniffers on organizational </w:t>
            </w:r>
            <w:r w:rsidRPr="009C7BC7">
              <w:rPr>
                <w:rFonts w:ascii="Google Sans" w:eastAsia="Google Sans" w:hAnsi="Google Sans" w:cs="Google Sans"/>
                <w:i/>
                <w:color w:val="353744"/>
              </w:rPr>
              <w:lastRenderedPageBreak/>
              <w:t>information systems.</w:t>
            </w:r>
          </w:p>
        </w:tc>
        <w:tc>
          <w:tcPr>
            <w:tcW w:w="1395" w:type="dxa"/>
            <w:shd w:val="clear" w:color="auto" w:fill="auto"/>
            <w:tcMar>
              <w:top w:w="100" w:type="dxa"/>
              <w:left w:w="100" w:type="dxa"/>
              <w:bottom w:w="100" w:type="dxa"/>
              <w:right w:w="100" w:type="dxa"/>
            </w:tcMar>
          </w:tcPr>
          <w:p w14:paraId="7D8D522E" w14:textId="262917BE" w:rsidR="00906970" w:rsidRDefault="009C7BC7">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lastRenderedPageBreak/>
              <w:t>3</w:t>
            </w:r>
          </w:p>
        </w:tc>
        <w:tc>
          <w:tcPr>
            <w:tcW w:w="1320" w:type="dxa"/>
            <w:shd w:val="clear" w:color="auto" w:fill="auto"/>
            <w:tcMar>
              <w:top w:w="100" w:type="dxa"/>
              <w:left w:w="100" w:type="dxa"/>
              <w:bottom w:w="100" w:type="dxa"/>
              <w:right w:w="100" w:type="dxa"/>
            </w:tcMar>
          </w:tcPr>
          <w:p w14:paraId="3196B3EF" w14:textId="7146E637" w:rsidR="00906970" w:rsidRDefault="009C7BC7">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3</w:t>
            </w:r>
          </w:p>
        </w:tc>
        <w:tc>
          <w:tcPr>
            <w:tcW w:w="1110" w:type="dxa"/>
            <w:shd w:val="clear" w:color="auto" w:fill="auto"/>
            <w:tcMar>
              <w:top w:w="100" w:type="dxa"/>
              <w:left w:w="100" w:type="dxa"/>
              <w:bottom w:w="100" w:type="dxa"/>
              <w:right w:w="100" w:type="dxa"/>
            </w:tcMar>
          </w:tcPr>
          <w:p w14:paraId="7D81B029" w14:textId="0BE65F26" w:rsidR="00906970" w:rsidRDefault="009C7BC7">
            <w:pPr>
              <w:widowControl w:val="0"/>
              <w:spacing w:line="240" w:lineRule="auto"/>
              <w:rPr>
                <w:rFonts w:ascii="Google Sans" w:eastAsia="Google Sans" w:hAnsi="Google Sans" w:cs="Google Sans"/>
                <w:i/>
                <w:color w:val="353744"/>
              </w:rPr>
            </w:pPr>
            <w:r>
              <w:rPr>
                <w:rFonts w:ascii="Google Sans" w:eastAsia="Google Sans" w:hAnsi="Google Sans" w:cs="Google Sans"/>
                <w:i/>
                <w:color w:val="353744"/>
              </w:rPr>
              <w:t>9</w:t>
            </w:r>
          </w:p>
        </w:tc>
      </w:tr>
    </w:tbl>
    <w:p w14:paraId="632947AF" w14:textId="77777777" w:rsidR="00906970"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7" w:name="_a9ivkvfuz16w" w:colFirst="0" w:colLast="0"/>
      <w:bookmarkEnd w:id="7"/>
      <w:r>
        <w:rPr>
          <w:rFonts w:ascii="Proxima Nova" w:eastAsia="Proxima Nova" w:hAnsi="Proxima Nova" w:cs="Proxima Nova"/>
          <w:b/>
          <w:color w:val="353744"/>
          <w:sz w:val="28"/>
          <w:szCs w:val="28"/>
        </w:rPr>
        <w:t>Approach</w:t>
      </w:r>
    </w:p>
    <w:p w14:paraId="52F66206" w14:textId="77777777" w:rsidR="00FF078E" w:rsidRDefault="00FF078E" w:rsidP="009C7BC7">
      <w:pPr>
        <w:rPr>
          <w:rFonts w:ascii="Google Sans" w:eastAsia="Google Sans" w:hAnsi="Google Sans" w:cs="Google Sans"/>
          <w:color w:val="353744"/>
        </w:rPr>
      </w:pPr>
    </w:p>
    <w:p w14:paraId="731D9D02" w14:textId="56D38689" w:rsidR="009C7BC7" w:rsidRPr="009C7BC7" w:rsidRDefault="009C7BC7" w:rsidP="009C7BC7">
      <w:pPr>
        <w:rPr>
          <w:rFonts w:ascii="Google Sans" w:eastAsia="Google Sans" w:hAnsi="Google Sans" w:cs="Google Sans"/>
          <w:i/>
          <w:color w:val="353744"/>
        </w:rPr>
      </w:pPr>
      <w:r>
        <w:rPr>
          <w:rFonts w:ascii="Google Sans" w:eastAsia="Google Sans" w:hAnsi="Google Sans" w:cs="Google Sans"/>
          <w:i/>
          <w:color w:val="353744"/>
        </w:rPr>
        <w:t xml:space="preserve">The reason I chose these risks is because outsiders are unpredictable they will attack you with all sorts of attacks, the reasoning of the likelihood and severity scores is because these have the potential to disrupt normal business operations which will likely </w:t>
      </w:r>
      <w:r w:rsidR="00FF078E">
        <w:rPr>
          <w:rFonts w:ascii="Google Sans" w:eastAsia="Google Sans" w:hAnsi="Google Sans" w:cs="Google Sans"/>
          <w:i/>
          <w:color w:val="353744"/>
        </w:rPr>
        <w:t>disable business operations, the limitations of this assessment is we are preparing for known attacks where we are guided by the NIST framework, we have no plans for a zero-day attack.</w:t>
      </w:r>
    </w:p>
    <w:p w14:paraId="7BEABF98" w14:textId="77777777" w:rsidR="00906970"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8" w:name="_vf6vykh0xvv7" w:colFirst="0" w:colLast="0"/>
      <w:bookmarkEnd w:id="8"/>
      <w:r>
        <w:rPr>
          <w:rFonts w:ascii="Proxima Nova" w:eastAsia="Proxima Nova" w:hAnsi="Proxima Nova" w:cs="Proxima Nova"/>
          <w:b/>
          <w:color w:val="353744"/>
          <w:sz w:val="28"/>
          <w:szCs w:val="28"/>
        </w:rPr>
        <w:t>Remediation Strategy</w:t>
      </w:r>
    </w:p>
    <w:p w14:paraId="70D1E378" w14:textId="77777777" w:rsidR="00FF078E" w:rsidRDefault="00FF078E" w:rsidP="00FF078E">
      <w:pPr>
        <w:rPr>
          <w:rFonts w:ascii="Google Sans" w:eastAsia="Google Sans" w:hAnsi="Google Sans" w:cs="Google Sans"/>
          <w:color w:val="353744"/>
        </w:rPr>
      </w:pPr>
    </w:p>
    <w:p w14:paraId="3EB776C9" w14:textId="71554F58" w:rsidR="00FF078E" w:rsidRDefault="00FF078E" w:rsidP="00FF078E">
      <w:pPr>
        <w:rPr>
          <w:rFonts w:ascii="Google Sans" w:eastAsia="Google Sans" w:hAnsi="Google Sans" w:cs="Google Sans"/>
          <w:i/>
          <w:color w:val="353744"/>
        </w:rPr>
      </w:pPr>
      <w:r>
        <w:rPr>
          <w:rFonts w:ascii="Google Sans" w:eastAsia="Google Sans" w:hAnsi="Google Sans" w:cs="Google Sans"/>
          <w:i/>
          <w:color w:val="353744"/>
        </w:rPr>
        <w:t>In terms of technical controls, establishing firewalls and disabling unused ports can be a way to prevent Denial of Service (DoS) attacks, operational controls can be established when either of these threats go through there would be planning involved, and for managerial controls this is where most of the risk management process and security program planning and implementation is included. These will improve the overall security of the system in a way where we can prevent these attacks in happening in the first place.</w:t>
      </w:r>
    </w:p>
    <w:p w14:paraId="1A36ECED" w14:textId="77777777" w:rsidR="00906970" w:rsidRDefault="00906970"/>
    <w:sectPr w:rsidR="009069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85A9DBEF-ACBA-41AA-B65B-CD8CF651FB8F}"/>
    <w:embedBold r:id="rId2" w:fontKey="{E0BD6733-A1C1-4231-949D-9422A567F515}"/>
  </w:font>
  <w:font w:name="Google Sans">
    <w:charset w:val="00"/>
    <w:family w:val="auto"/>
    <w:pitch w:val="default"/>
    <w:embedRegular r:id="rId3" w:fontKey="{65847A6E-52D3-40BF-8D4A-DDDD407888AC}"/>
    <w:embedBold r:id="rId4" w:fontKey="{46E1E70C-0733-4E59-B10F-3DD829B46680}"/>
    <w:embedItalic r:id="rId5" w:fontKey="{00675BEF-185E-48DB-B5F3-8240578E5C0F}"/>
  </w:font>
  <w:font w:name="Calibri">
    <w:panose1 w:val="020F0502020204030204"/>
    <w:charset w:val="00"/>
    <w:family w:val="swiss"/>
    <w:pitch w:val="variable"/>
    <w:sig w:usb0="E4002EFF" w:usb1="C200247B" w:usb2="00000009" w:usb3="00000000" w:csb0="000001FF" w:csb1="00000000"/>
    <w:embedRegular r:id="rId6" w:fontKey="{EF100CF6-03B1-450B-9557-346498579D6E}"/>
  </w:font>
  <w:font w:name="Cambria">
    <w:panose1 w:val="02040503050406030204"/>
    <w:charset w:val="00"/>
    <w:family w:val="roman"/>
    <w:pitch w:val="variable"/>
    <w:sig w:usb0="E00006FF" w:usb1="420024FF" w:usb2="02000000" w:usb3="00000000" w:csb0="0000019F" w:csb1="00000000"/>
    <w:embedRegular r:id="rId7" w:fontKey="{6DA5EBE1-0448-4B32-9BC7-E409923CD0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13300"/>
    <w:multiLevelType w:val="multilevel"/>
    <w:tmpl w:val="64266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54525C"/>
    <w:multiLevelType w:val="multilevel"/>
    <w:tmpl w:val="D45EC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CC3E66"/>
    <w:multiLevelType w:val="multilevel"/>
    <w:tmpl w:val="2A9AD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9570739">
    <w:abstractNumId w:val="0"/>
  </w:num>
  <w:num w:numId="2" w16cid:durableId="107818236">
    <w:abstractNumId w:val="2"/>
  </w:num>
  <w:num w:numId="3" w16cid:durableId="391077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970"/>
    <w:rsid w:val="00906970"/>
    <w:rsid w:val="009C7BC7"/>
    <w:rsid w:val="00AE0300"/>
    <w:rsid w:val="00E203AE"/>
    <w:rsid w:val="00F65F11"/>
    <w:rsid w:val="00FF07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26DCE"/>
  <w15:docId w15:val="{73970FE2-1E9B-4452-AEBE-2F82ACE00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6099901">
      <w:bodyDiv w:val="1"/>
      <w:marLeft w:val="0"/>
      <w:marRight w:val="0"/>
      <w:marTop w:val="0"/>
      <w:marBottom w:val="0"/>
      <w:divBdr>
        <w:top w:val="none" w:sz="0" w:space="0" w:color="auto"/>
        <w:left w:val="none" w:sz="0" w:space="0" w:color="auto"/>
        <w:bottom w:val="none" w:sz="0" w:space="0" w:color="auto"/>
        <w:right w:val="none" w:sz="0" w:space="0" w:color="auto"/>
      </w:divBdr>
    </w:div>
    <w:div w:id="2089617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Fc4L2azQlnUM-8r43PU9mYlT30BnxTwdjAMqpT7JeZk/edit?resourcekey=0-Q-XglnC3Li7JPK2hIvMkV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375</Words>
  <Characters>2139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Wayne Karlo San Diego</dc:creator>
  <cp:lastModifiedBy>Wayne Karlo</cp:lastModifiedBy>
  <cp:revision>2</cp:revision>
  <dcterms:created xsi:type="dcterms:W3CDTF">2024-09-18T14:32:00Z</dcterms:created>
  <dcterms:modified xsi:type="dcterms:W3CDTF">2024-09-18T14:32:00Z</dcterms:modified>
</cp:coreProperties>
</file>