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Laboratory Tests</w:t>
      </w:r>
    </w:p>
    <w:p>
      <w:pPr>
        <w:pStyle w:val="IntenseQuote"/>
      </w:pPr>
      <w:r>
        <w:t>Laboratory 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Value/Response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Collection 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Collection Time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Test Name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Result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Unit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Normal Range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Text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Clinically Significant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Dropdown (3 options)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□ Yes  □ No  □ Not Applicable</w:t>
            </w:r>
          </w:p>
        </w:tc>
      </w:tr>
    </w:tbl>
    <w:p/>
    <w:p>
      <w:pPr>
        <w:pStyle w:val="Heading2"/>
      </w:pPr>
      <w:r>
        <w:t>Laboratory Tests - Coding Instructions</w:t>
      </w:r>
    </w:p>
    <w:p>
      <w:pPr>
        <w:pStyle w:val="ListBullet"/>
      </w:pPr>
      <w:r>
        <w:rPr>
          <w:b/>
        </w:rPr>
        <w:t xml:space="preserve">Collection Date: </w:t>
      </w:r>
      <w:r>
        <w:t>Date sample was collected</w:t>
      </w:r>
    </w:p>
    <w:p>
      <w:pPr>
        <w:pStyle w:val="ListBullet"/>
      </w:pPr>
      <w:r>
        <w:rPr>
          <w:b/>
        </w:rPr>
        <w:t xml:space="preserve">Collection Time: </w:t>
      </w:r>
      <w:r>
        <w:t>Time sample was collected (24-hour format)</w:t>
      </w:r>
    </w:p>
    <w:p>
      <w:pPr>
        <w:pStyle w:val="ListBullet"/>
      </w:pPr>
      <w:r>
        <w:rPr>
          <w:b/>
        </w:rPr>
        <w:t xml:space="preserve">Test Name: </w:t>
      </w:r>
      <w:r>
        <w:t>Name of laboratory test (use standard LOINC codes when available)</w:t>
      </w:r>
    </w:p>
    <w:p>
      <w:pPr>
        <w:pStyle w:val="ListBullet"/>
      </w:pPr>
      <w:r>
        <w:rPr>
          <w:b/>
        </w:rPr>
        <w:t xml:space="preserve">Result: </w:t>
      </w:r>
      <w:r>
        <w:t>Test result value with appropriate precision</w:t>
      </w:r>
    </w:p>
    <w:p>
      <w:pPr>
        <w:pStyle w:val="ListBullet"/>
      </w:pPr>
      <w:r>
        <w:rPr>
          <w:b/>
        </w:rPr>
        <w:t xml:space="preserve">Unit: </w:t>
      </w:r>
      <w:r>
        <w:t>Unit of measurement (e.g., mg/dL, mmol/L)</w:t>
      </w:r>
    </w:p>
    <w:p>
      <w:pPr>
        <w:pStyle w:val="ListBullet"/>
      </w:pPr>
      <w:r>
        <w:rPr>
          <w:b/>
        </w:rPr>
        <w:t xml:space="preserve">Normal Range: </w:t>
      </w:r>
      <w:r>
        <w:t>Laboratory normal reference range</w:t>
      </w:r>
    </w:p>
    <w:p>
      <w:pPr>
        <w:pStyle w:val="ListBullet"/>
      </w:pPr>
      <w:r>
        <w:rPr>
          <w:b/>
        </w:rPr>
        <w:t xml:space="preserve">Clinically Significant: </w:t>
      </w:r>
      <w:r>
        <w:t>Investigator assessment of clinical significance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666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Tests Template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