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00"/>
      </w:pPr>
      <w:r>
        <w:t>台灣臨床試驗Protocol</w:t>
      </w:r>
    </w:p>
    <w:p>
      <w:pPr>
        <w:spacing w:line="276" w:lineRule="auto" w:before="0" w:after="200"/>
      </w:pPr>
      <w:r>
        <w:t>本Protocol適用於台灣地區的臨床試驗。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rPr>
        <w:sz w:val="16"/>
      </w:rPr>
      <w:t>________________________________________________________________________________</w:t>
    </w:r>
  </w:p>
  <w:tbl>
    <w:tblPr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rFonts w:ascii="Arial" w:hAnsi="Arial"/>
              <w:b/>
              <w:color w:val="FF0000"/>
              <w:sz w:val="16"/>
            </w:rPr>
            <w:t>CONFIDENTIAL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Arial" w:hAnsi="Arial"/>
              <w:sz w:val="16"/>
            </w:rPr>
            <w:t>18-Nov-2025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Arial" w:hAnsi="Arial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sz w:val="16"/>
            </w:rPr>
            <w:t xml:space="preserve"> of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right"/>
          </w:pPr>
          <w:r>
            <w:rPr>
              <w:rFonts w:ascii="Arial" w:hAnsi="Arial"/>
              <w:b/>
              <w:sz w:val="20"/>
            </w:rPr>
            <w:t>台灣第三期臨床試驗</w:t>
            <w:br/>
          </w:r>
          <w:r>
            <w:rPr>
              <w:rFonts w:ascii="Arial" w:hAnsi="Arial"/>
              <w:sz w:val="18"/>
            </w:rPr>
            <w:t>Protocol: TW-PRO-2025-001</w:t>
            <w:br/>
          </w:r>
          <w:r>
            <w:rPr>
              <w:rFonts w:ascii="Arial" w:hAnsi="Arial"/>
              <w:sz w:val="18"/>
            </w:rPr>
            <w:t>Version: 1.0-TW</w:t>
            <w:br/>
          </w:r>
          <w:r>
            <w:rPr>
              <w:rFonts w:ascii="Arial" w:hAnsi="Arial"/>
              <w:sz w:val="18"/>
            </w:rPr>
            <w:t>18-Nov-2025</w:t>
          </w:r>
        </w:p>
      </w:tc>
    </w:tr>
  </w:tbl>
  <w:p>
    <w:r>
      <w:rPr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