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本文件為 Eduaide 未經修改的 AI 輸出（2026-10-07），含已標示的錯誤，使用前請核對。</w:t>
      </w:r>
      <w:r>
        <w:t xml:space="preserve"> </w:t>
      </w:r>
      <w:r>
        <w:t xml:space="preserve">錯誤說明見澳門科學館 Eduaide 教程「AI 錯誤與功能限制一覽」頁。</w:t>
      </w:r>
    </w:p>
    <w:bookmarkStart w:id="27" w:name="e-教學序列計劃畢氏定理的實際應用"/>
    <w:p>
      <w:pPr>
        <w:pStyle w:val="Heading1"/>
      </w:pPr>
      <w:r>
        <w:t xml:space="preserve">5E 教學序列計劃：畢氏定理的實際應用</w:t>
      </w:r>
    </w:p>
    <w:bookmarkStart w:id="20" w:name="上游工件"/>
    <w:p>
      <w:pPr>
        <w:pStyle w:val="Heading2"/>
      </w:pPr>
      <w:r>
        <w:t xml:space="preserve">上游工件</w:t>
      </w:r>
    </w:p>
    <w:p>
      <w:pPr>
        <w:pStyle w:val="Compact"/>
        <w:numPr>
          <w:ilvl w:val="0"/>
          <w:numId w:val="1001"/>
        </w:numPr>
      </w:pPr>
      <w:r>
        <w:t xml:space="preserve">Anchoring phenomenon: 當一個梯子靠在牆上時，梯子與地面的距離如何影響梯子的高度？</w:t>
      </w:r>
    </w:p>
    <w:p>
      <w:pPr>
        <w:pStyle w:val="Compact"/>
        <w:numPr>
          <w:ilvl w:val="0"/>
          <w:numId w:val="1001"/>
        </w:numPr>
      </w:pPr>
      <w:r>
        <w:t xml:space="preserve">Essential question: 我們如何運用畢氏定理來解決有關梯子和牆壁的距離計算問題？</w:t>
      </w:r>
    </w:p>
    <w:p>
      <w:pPr>
        <w:pStyle w:val="Compact"/>
        <w:numPr>
          <w:ilvl w:val="0"/>
          <w:numId w:val="1001"/>
        </w:numPr>
      </w:pPr>
      <w:r>
        <w:t xml:space="preserve">Learning objectives:</w:t>
      </w:r>
    </w:p>
    <w:p>
      <w:pPr>
        <w:pStyle w:val="Compact"/>
        <w:numPr>
          <w:ilvl w:val="0"/>
          <w:numId w:val="1001"/>
        </w:numPr>
      </w:pPr>
      <w:r>
        <w:t xml:space="preserve">學生將能夠運用畢氏定理計算直角三角形的邊長，通過完成相關練習題來證明掌握情況。</w:t>
      </w:r>
    </w:p>
    <w:p>
      <w:pPr>
        <w:pStyle w:val="Compact"/>
        <w:numPr>
          <w:ilvl w:val="0"/>
          <w:numId w:val="1001"/>
        </w:numPr>
      </w:pPr>
      <w:r>
        <w:t xml:space="preserve">學生將能夠設計一個實際的梯子問題並運用畢氏定理解決，通過小組報告來展示他們的解題過程。</w:t>
      </w:r>
    </w:p>
    <w:p>
      <w:pPr>
        <w:pStyle w:val="Compact"/>
        <w:numPr>
          <w:ilvl w:val="0"/>
          <w:numId w:val="1001"/>
        </w:numPr>
      </w:pPr>
      <w:r>
        <w:t xml:space="preserve">學生將能夠識別和修正與畢氏定理有關的常見誤解，通過同儕評估來提供反饋。</w:t>
      </w:r>
    </w:p>
    <w:p>
      <w:pPr>
        <w:pStyle w:val="Compact"/>
        <w:numPr>
          <w:ilvl w:val="0"/>
          <w:numId w:val="1001"/>
        </w:numPr>
      </w:pPr>
      <w:r>
        <w:t xml:space="preserve">Prior knowledge &amp; common preconceptions:</w:t>
      </w:r>
    </w:p>
    <w:p>
      <w:pPr>
        <w:pStyle w:val="Compact"/>
        <w:numPr>
          <w:ilvl w:val="0"/>
          <w:numId w:val="1001"/>
        </w:numPr>
      </w:pPr>
      <w:r>
        <w:t xml:space="preserve">學生應該知道平方根和算術平方根的基本概念。</w:t>
      </w:r>
    </w:p>
    <w:p>
      <w:pPr>
        <w:pStyle w:val="Compact"/>
        <w:numPr>
          <w:ilvl w:val="0"/>
          <w:numId w:val="1001"/>
        </w:numPr>
      </w:pPr>
      <w:r>
        <w:t xml:space="preserve">學生常見的誤解包括：</w:t>
      </w:r>
    </w:p>
    <w:p>
      <w:pPr>
        <w:pStyle w:val="Compact"/>
        <w:numPr>
          <w:ilvl w:val="0"/>
          <w:numId w:val="1001"/>
        </w:numPr>
      </w:pPr>
      <w:r>
        <w:t xml:space="preserve">認為畢氏定理僅適用於特定類型的直角三角形，忽視其普遍性。</w:t>
      </w:r>
    </w:p>
    <w:p>
      <w:pPr>
        <w:pStyle w:val="Compact"/>
        <w:numPr>
          <w:ilvl w:val="0"/>
          <w:numId w:val="1001"/>
        </w:numPr>
      </w:pPr>
      <w:r>
        <w:t xml:space="preserve">在計算時忽略單位的使用，導致不正確的答案。</w:t>
      </w:r>
    </w:p>
    <w:p>
      <w:pPr>
        <w:pStyle w:val="Compact"/>
        <w:numPr>
          <w:ilvl w:val="0"/>
          <w:numId w:val="1001"/>
        </w:numPr>
      </w:pPr>
      <w:r>
        <w:t xml:space="preserve">認為畢氏定理只是一個公式，而不是數學與現實生活的聯繫。</w:t>
      </w:r>
    </w:p>
    <w:bookmarkEnd w:id="20"/>
    <w:bookmarkStart w:id="21" w:name="engage-phase"/>
    <w:p>
      <w:pPr>
        <w:pStyle w:val="Heading2"/>
      </w:pPr>
      <w:r>
        <w:t xml:space="preserve">Engage Phase</w:t>
      </w:r>
    </w:p>
    <w:p>
      <w:pPr>
        <w:pStyle w:val="Compact"/>
        <w:numPr>
          <w:ilvl w:val="0"/>
          <w:numId w:val="1002"/>
        </w:numPr>
      </w:pPr>
      <w:r>
        <w:t xml:space="preserve">Pacing: 1 session, approximately 45 minutes</w:t>
      </w:r>
    </w:p>
    <w:p>
      <w:pPr>
        <w:pStyle w:val="Compact"/>
        <w:numPr>
          <w:ilvl w:val="0"/>
          <w:numId w:val="1002"/>
        </w:numPr>
      </w:pPr>
      <w:r>
        <w:t xml:space="preserve">Connection to the anchoring phenomenon: 學生將觀察到梯子與牆壁的距離如何影響梯子的高度，激發他們思考如何計算這些參數。</w:t>
      </w:r>
    </w:p>
    <w:p>
      <w:pPr>
        <w:pStyle w:val="Compact"/>
        <w:numPr>
          <w:ilvl w:val="0"/>
          <w:numId w:val="1002"/>
        </w:numPr>
      </w:pPr>
      <w:r>
        <w:t xml:space="preserve">Student tasks: 學生在小組中討論並寫下與梯子和牆壁距離相關的問題，並在白板上分享他們的問題，形成一個“驅動問題板”。</w:t>
      </w:r>
    </w:p>
    <w:p>
      <w:pPr>
        <w:pStyle w:val="Compact"/>
        <w:numPr>
          <w:ilvl w:val="0"/>
          <w:numId w:val="1002"/>
        </w:numPr>
      </w:pPr>
      <w:r>
        <w:t xml:space="preserve">Teacher moves:</w:t>
      </w:r>
      <w:r>
        <w:t xml:space="preserve"> </w:t>
      </w:r>
      <w:r>
        <w:t xml:space="preserve">“</w:t>
      </w:r>
      <w:r>
        <w:t xml:space="preserve">你們認為在什麼情況下梯子可能會摔倒？</w:t>
      </w:r>
      <w:r>
        <w:t xml:space="preserve">”</w:t>
      </w:r>
      <w:r>
        <w:t xml:space="preserve">“</w:t>
      </w:r>
      <w:r>
        <w:t xml:space="preserve">如果梯子更長或更短，這會如何影響它的穩定性？</w:t>
      </w:r>
      <w:r>
        <w:t xml:space="preserve">”</w:t>
      </w:r>
    </w:p>
    <w:p>
      <w:pPr>
        <w:pStyle w:val="Compact"/>
        <w:numPr>
          <w:ilvl w:val="0"/>
          <w:numId w:val="1002"/>
        </w:numPr>
      </w:pPr>
      <w:r>
        <w:t xml:space="preserve">Materials &amp; safety: 白板和標記筆，無需安全注意事項。</w:t>
      </w:r>
    </w:p>
    <w:p>
      <w:pPr>
        <w:pStyle w:val="Compact"/>
        <w:numPr>
          <w:ilvl w:val="0"/>
          <w:numId w:val="1002"/>
        </w:numPr>
      </w:pPr>
      <w:r>
        <w:t xml:space="preserve">Formative check: 學生分享他們所提出的問題，教師可以通過觀察問題的深度和相關性來評估學生的思考。</w:t>
      </w:r>
    </w:p>
    <w:p>
      <w:pPr>
        <w:pStyle w:val="Compact"/>
        <w:numPr>
          <w:ilvl w:val="0"/>
          <w:numId w:val="1002"/>
        </w:numPr>
      </w:pPr>
      <w:r>
        <w:t xml:space="preserve">UDL &amp; differentiation:</w:t>
      </w:r>
    </w:p>
    <w:p>
      <w:pPr>
        <w:pStyle w:val="Compact"/>
        <w:numPr>
          <w:ilvl w:val="0"/>
          <w:numId w:val="1002"/>
        </w:numPr>
      </w:pPr>
      <w:r>
        <w:t xml:space="preserve">提供問題提示卡，幫助學生產生想法。</w:t>
      </w:r>
    </w:p>
    <w:p>
      <w:pPr>
        <w:pStyle w:val="Compact"/>
        <w:numPr>
          <w:ilvl w:val="0"/>
          <w:numId w:val="1002"/>
        </w:numPr>
      </w:pPr>
      <w:r>
        <w:t xml:space="preserve">對於學習有困難的學生，可以提供小組支持和多語言詞彙表。</w:t>
      </w:r>
    </w:p>
    <w:bookmarkEnd w:id="21"/>
    <w:bookmarkStart w:id="22" w:name="explore-phase"/>
    <w:p>
      <w:pPr>
        <w:pStyle w:val="Heading2"/>
      </w:pPr>
      <w:r>
        <w:t xml:space="preserve">Explore Phase</w:t>
      </w:r>
    </w:p>
    <w:p>
      <w:pPr>
        <w:pStyle w:val="Compact"/>
        <w:numPr>
          <w:ilvl w:val="0"/>
          <w:numId w:val="1003"/>
        </w:numPr>
      </w:pPr>
      <w:r>
        <w:t xml:space="preserve">Pacing: 1 session, approximately 60 minutes</w:t>
      </w:r>
    </w:p>
    <w:p>
      <w:pPr>
        <w:pStyle w:val="Compact"/>
        <w:numPr>
          <w:ilvl w:val="0"/>
          <w:numId w:val="1003"/>
        </w:numPr>
      </w:pPr>
      <w:r>
        <w:t xml:space="preserve">Connection to the anchoring phenomenon: 學生設計實驗來測量梯子與牆壁的距離及高度，幫助他們理解如何運用畢氏定理。</w:t>
      </w:r>
    </w:p>
    <w:p>
      <w:pPr>
        <w:pStyle w:val="Compact"/>
        <w:numPr>
          <w:ilvl w:val="0"/>
          <w:numId w:val="1003"/>
        </w:numPr>
      </w:pPr>
      <w:r>
        <w:t xml:space="preserve">Student tasks: 學生分組，選擇一個梯子和牆壁的模型，測量梯子與地面的距離（底邊）、牆壁的高度（直邊），並計算梯子的長度（斜邊），然後記錄數據。</w:t>
      </w:r>
    </w:p>
    <w:p>
      <w:pPr>
        <w:pStyle w:val="Compact"/>
        <w:numPr>
          <w:ilvl w:val="0"/>
          <w:numId w:val="1003"/>
        </w:numPr>
      </w:pPr>
      <w:r>
        <w:t xml:space="preserve">Teacher moves:</w:t>
      </w:r>
      <w:r>
        <w:t xml:space="preserve"> </w:t>
      </w:r>
      <w:r>
        <w:t xml:space="preserve">“</w:t>
      </w:r>
      <w:r>
        <w:t xml:space="preserve">你們如何決定需要測量哪些部分？</w:t>
      </w:r>
      <w:r>
        <w:t xml:space="preserve">”</w:t>
      </w:r>
      <w:r>
        <w:t xml:space="preserve">“</w:t>
      </w:r>
      <w:r>
        <w:t xml:space="preserve">如果你們改變測量的方式，會得到什麼不同的結果？</w:t>
      </w:r>
      <w:r>
        <w:t xml:space="preserve">”</w:t>
      </w:r>
    </w:p>
    <w:p>
      <w:pPr>
        <w:pStyle w:val="Compact"/>
        <w:numPr>
          <w:ilvl w:val="0"/>
          <w:numId w:val="1003"/>
        </w:numPr>
      </w:pPr>
      <w:r>
        <w:t xml:space="preserve">Materials &amp; safety: 模型梯子、卷尺、計算器，無需安全注意事項。</w:t>
      </w:r>
    </w:p>
    <w:p>
      <w:pPr>
        <w:pStyle w:val="Compact"/>
        <w:numPr>
          <w:ilvl w:val="0"/>
          <w:numId w:val="1003"/>
        </w:numPr>
      </w:pPr>
      <w:r>
        <w:t xml:space="preserve">Formative check: 學生的測量數據和計算過程，教師檢查數據的準確性及計算步驟的合理性。</w:t>
      </w:r>
    </w:p>
    <w:p>
      <w:pPr>
        <w:pStyle w:val="Compact"/>
        <w:numPr>
          <w:ilvl w:val="0"/>
          <w:numId w:val="1003"/>
        </w:numPr>
      </w:pPr>
      <w:r>
        <w:t xml:space="preserve">UDL &amp; differentiation:</w:t>
      </w:r>
    </w:p>
    <w:p>
      <w:pPr>
        <w:pStyle w:val="Compact"/>
        <w:numPr>
          <w:ilvl w:val="0"/>
          <w:numId w:val="1003"/>
        </w:numPr>
      </w:pPr>
      <w:r>
        <w:t xml:space="preserve">提供數據收集表格以幫助學生組織數據。</w:t>
      </w:r>
    </w:p>
    <w:p>
      <w:pPr>
        <w:pStyle w:val="Compact"/>
        <w:numPr>
          <w:ilvl w:val="0"/>
          <w:numId w:val="1003"/>
        </w:numPr>
      </w:pPr>
      <w:r>
        <w:t xml:space="preserve">高級學生可以進行進一步的分析，如改變梯子角度的計算。</w:t>
      </w:r>
    </w:p>
    <w:bookmarkEnd w:id="22"/>
    <w:bookmarkStart w:id="23" w:name="explain-phase"/>
    <w:p>
      <w:pPr>
        <w:pStyle w:val="Heading2"/>
      </w:pPr>
      <w:r>
        <w:t xml:space="preserve">Explain Phase</w:t>
      </w:r>
    </w:p>
    <w:p>
      <w:pPr>
        <w:pStyle w:val="Compact"/>
        <w:numPr>
          <w:ilvl w:val="0"/>
          <w:numId w:val="1004"/>
        </w:numPr>
      </w:pPr>
      <w:r>
        <w:t xml:space="preserve">Pacing: 1 session, approximately 45 minutes</w:t>
      </w:r>
    </w:p>
    <w:p>
      <w:pPr>
        <w:pStyle w:val="Compact"/>
        <w:numPr>
          <w:ilvl w:val="0"/>
          <w:numId w:val="1004"/>
        </w:numPr>
      </w:pPr>
      <w:r>
        <w:t xml:space="preserve">Connection to the anchoring phenomenon: 學生將分享他們的測量和計算結果，並將它們與畢氏定理的概念相連。</w:t>
      </w:r>
    </w:p>
    <w:p>
      <w:pPr>
        <w:pStyle w:val="Compact"/>
        <w:numPr>
          <w:ilvl w:val="0"/>
          <w:numId w:val="1004"/>
        </w:numPr>
      </w:pPr>
      <w:r>
        <w:t xml:space="preserve">Student tasks: 各組學生展示他們的計算過程，教師引導學生總結出畢氏定理的公式，然後要求學生使用模型跟蹤器修正他們的初始模型。</w:t>
      </w:r>
    </w:p>
    <w:p>
      <w:pPr>
        <w:pStyle w:val="Compact"/>
        <w:numPr>
          <w:ilvl w:val="0"/>
          <w:numId w:val="1004"/>
        </w:numPr>
      </w:pPr>
      <w:r>
        <w:t xml:space="preserve">Teacher moves:</w:t>
      </w:r>
      <w:r>
        <w:t xml:space="preserve"> </w:t>
      </w:r>
      <w:r>
        <w:t xml:space="preserve">“</w:t>
      </w:r>
      <w:r>
        <w:t xml:space="preserve">你們的計算是如何與畢氏定理相符的？</w:t>
      </w:r>
      <w:r>
        <w:t xml:space="preserve">”</w:t>
      </w:r>
      <w:r>
        <w:t xml:space="preserve">“</w:t>
      </w:r>
      <w:r>
        <w:t xml:space="preserve">你們發現了哪些共同點或不同點？</w:t>
      </w:r>
      <w:r>
        <w:t xml:space="preserve">”</w:t>
      </w:r>
    </w:p>
    <w:p>
      <w:pPr>
        <w:pStyle w:val="Compact"/>
        <w:numPr>
          <w:ilvl w:val="0"/>
          <w:numId w:val="1004"/>
        </w:numPr>
      </w:pPr>
      <w:r>
        <w:t xml:space="preserve">Materials &amp; safety: 白板，計算器，無需安全注意事項。</w:t>
      </w:r>
    </w:p>
    <w:p>
      <w:pPr>
        <w:pStyle w:val="Compact"/>
        <w:numPr>
          <w:ilvl w:val="0"/>
          <w:numId w:val="1004"/>
        </w:numPr>
      </w:pPr>
      <w:r>
        <w:t xml:space="preserve">Formative check: 學生的展示和他們對畢氏定理的理解，教師檢查學生的模型和計算中的邏輯。</w:t>
      </w:r>
    </w:p>
    <w:p>
      <w:pPr>
        <w:pStyle w:val="Compact"/>
        <w:numPr>
          <w:ilvl w:val="0"/>
          <w:numId w:val="1004"/>
        </w:numPr>
      </w:pPr>
      <w:r>
        <w:t xml:space="preserve">UDL &amp; differentiation:</w:t>
      </w:r>
    </w:p>
    <w:p>
      <w:pPr>
        <w:pStyle w:val="Compact"/>
        <w:numPr>
          <w:ilvl w:val="0"/>
          <w:numId w:val="1004"/>
        </w:numPr>
      </w:pPr>
      <w:r>
        <w:t xml:space="preserve">提供圖示幫助學生理解公式。</w:t>
      </w:r>
    </w:p>
    <w:p>
      <w:pPr>
        <w:pStyle w:val="Compact"/>
        <w:numPr>
          <w:ilvl w:val="0"/>
          <w:numId w:val="1004"/>
        </w:numPr>
      </w:pPr>
      <w:r>
        <w:t xml:space="preserve">對於學習有困難的學生，提供逐步的解釋和例題。</w:t>
      </w:r>
    </w:p>
    <w:bookmarkEnd w:id="23"/>
    <w:bookmarkStart w:id="24" w:name="elaborate-phase"/>
    <w:p>
      <w:pPr>
        <w:pStyle w:val="Heading2"/>
      </w:pPr>
      <w:r>
        <w:t xml:space="preserve">Elaborate Phase</w:t>
      </w:r>
    </w:p>
    <w:p>
      <w:pPr>
        <w:pStyle w:val="Compact"/>
        <w:numPr>
          <w:ilvl w:val="0"/>
          <w:numId w:val="1005"/>
        </w:numPr>
      </w:pPr>
      <w:r>
        <w:t xml:space="preserve">Pacing: 1 session, approximately 60 minutes</w:t>
      </w:r>
    </w:p>
    <w:p>
      <w:pPr>
        <w:pStyle w:val="Compact"/>
        <w:numPr>
          <w:ilvl w:val="0"/>
          <w:numId w:val="1005"/>
        </w:numPr>
      </w:pPr>
      <w:r>
        <w:t xml:space="preserve">Connection to the anchoring phenomenon: 學生將應用畢氏定理解決一個新情境，例如設計一個攀岩牆的計算任務。</w:t>
      </w:r>
    </w:p>
    <w:p>
      <w:pPr>
        <w:pStyle w:val="Compact"/>
        <w:numPr>
          <w:ilvl w:val="0"/>
          <w:numId w:val="1005"/>
        </w:numPr>
      </w:pPr>
      <w:r>
        <w:t xml:space="preserve">Student tasks: 學生分組，設計一個攀岩牆的計算問題，必須考慮到高度、距離和梯子的長度，並為他們的問題創建解題指南。</w:t>
      </w:r>
    </w:p>
    <w:p>
      <w:pPr>
        <w:pStyle w:val="Compact"/>
        <w:numPr>
          <w:ilvl w:val="0"/>
          <w:numId w:val="1005"/>
        </w:numPr>
      </w:pPr>
      <w:r>
        <w:t xml:space="preserve">Teacher moves:</w:t>
      </w:r>
      <w:r>
        <w:t xml:space="preserve"> </w:t>
      </w:r>
      <w:r>
        <w:t xml:space="preserve">“</w:t>
      </w:r>
      <w:r>
        <w:t xml:space="preserve">你們考慮了哪些因素來設計這個問題？</w:t>
      </w:r>
      <w:r>
        <w:t xml:space="preserve">”</w:t>
      </w:r>
      <w:r>
        <w:t xml:space="preserve">“</w:t>
      </w:r>
      <w:r>
        <w:t xml:space="preserve">如何確保你的計算是準確的？</w:t>
      </w:r>
      <w:r>
        <w:t xml:space="preserve">”</w:t>
      </w:r>
    </w:p>
    <w:p>
      <w:pPr>
        <w:pStyle w:val="Compact"/>
        <w:numPr>
          <w:ilvl w:val="0"/>
          <w:numId w:val="1005"/>
        </w:numPr>
      </w:pPr>
      <w:r>
        <w:t xml:space="preserve">Materials &amp; safety: 紙張、筆和計算器，無需安全注意事項。</w:t>
      </w:r>
    </w:p>
    <w:p>
      <w:pPr>
        <w:pStyle w:val="Compact"/>
        <w:numPr>
          <w:ilvl w:val="0"/>
          <w:numId w:val="1005"/>
        </w:numPr>
      </w:pPr>
      <w:r>
        <w:t xml:space="preserve">Formative check: 學生的設計和解題指南，教師檢查他們的邏輯和計算的正確性。</w:t>
      </w:r>
    </w:p>
    <w:p>
      <w:pPr>
        <w:pStyle w:val="Compact"/>
        <w:numPr>
          <w:ilvl w:val="0"/>
          <w:numId w:val="1005"/>
        </w:numPr>
      </w:pPr>
      <w:r>
        <w:t xml:space="preserve">UDL &amp; differentiation:</w:t>
      </w:r>
    </w:p>
    <w:p>
      <w:pPr>
        <w:pStyle w:val="Compact"/>
        <w:numPr>
          <w:ilvl w:val="0"/>
          <w:numId w:val="1005"/>
        </w:numPr>
      </w:pPr>
      <w:r>
        <w:t xml:space="preserve">提供設計指南幫助學生組織想法。</w:t>
      </w:r>
    </w:p>
    <w:p>
      <w:pPr>
        <w:pStyle w:val="Compact"/>
        <w:numPr>
          <w:ilvl w:val="0"/>
          <w:numId w:val="1005"/>
        </w:numPr>
      </w:pPr>
      <w:r>
        <w:t xml:space="preserve">高級學生可以進行更複雜的設計挑戰。</w:t>
      </w:r>
    </w:p>
    <w:bookmarkEnd w:id="24"/>
    <w:bookmarkStart w:id="25" w:name="evaluate-phase"/>
    <w:p>
      <w:pPr>
        <w:pStyle w:val="Heading2"/>
      </w:pPr>
      <w:r>
        <w:t xml:space="preserve">Evaluate Phase</w:t>
      </w:r>
    </w:p>
    <w:p>
      <w:pPr>
        <w:pStyle w:val="Compact"/>
        <w:numPr>
          <w:ilvl w:val="0"/>
          <w:numId w:val="1006"/>
        </w:numPr>
      </w:pPr>
      <w:r>
        <w:t xml:space="preserve">Pacing: 1 session, approximately 45 minutes</w:t>
      </w:r>
    </w:p>
    <w:p>
      <w:pPr>
        <w:pStyle w:val="Compact"/>
        <w:numPr>
          <w:ilvl w:val="0"/>
          <w:numId w:val="1006"/>
        </w:numPr>
      </w:pPr>
      <w:r>
        <w:t xml:space="preserve">Connection to the anchoring phenomenon: 學生將運用他們的學習成果來解決一個綜合性的問題，並反思自己對畢氏定理的理解。</w:t>
      </w:r>
    </w:p>
    <w:p>
      <w:pPr>
        <w:pStyle w:val="Compact"/>
        <w:numPr>
          <w:ilvl w:val="0"/>
          <w:numId w:val="1006"/>
        </w:numPr>
      </w:pPr>
      <w:r>
        <w:t xml:space="preserve">Student tasks: 學生完成一次測驗，內容包括計算問題和實際應用題，並反思他們在過程中學到的知識。</w:t>
      </w:r>
    </w:p>
    <w:p>
      <w:pPr>
        <w:pStyle w:val="Compact"/>
        <w:numPr>
          <w:ilvl w:val="0"/>
          <w:numId w:val="1006"/>
        </w:numPr>
      </w:pPr>
      <w:r>
        <w:t xml:space="preserve">Teacher moves:</w:t>
      </w:r>
      <w:r>
        <w:t xml:space="preserve"> </w:t>
      </w:r>
      <w:r>
        <w:t xml:space="preserve">“</w:t>
      </w:r>
      <w:r>
        <w:t xml:space="preserve">這些問題中，有哪些是你們認為最具有挑戰性的？</w:t>
      </w:r>
      <w:r>
        <w:t xml:space="preserve">”</w:t>
      </w:r>
      <w:r>
        <w:t xml:space="preserve">“</w:t>
      </w:r>
      <w:r>
        <w:t xml:space="preserve">你們如何評估自己的解題策略？</w:t>
      </w:r>
      <w:r>
        <w:t xml:space="preserve">”</w:t>
      </w:r>
    </w:p>
    <w:p>
      <w:pPr>
        <w:pStyle w:val="Compact"/>
        <w:numPr>
          <w:ilvl w:val="0"/>
          <w:numId w:val="1006"/>
        </w:numPr>
      </w:pPr>
      <w:r>
        <w:t xml:space="preserve">Materials &amp; safety: 測驗紙、鉛筆，無需安全注意事項。</w:t>
      </w:r>
    </w:p>
    <w:p>
      <w:pPr>
        <w:pStyle w:val="Compact"/>
        <w:numPr>
          <w:ilvl w:val="0"/>
          <w:numId w:val="1006"/>
        </w:numPr>
      </w:pPr>
      <w:r>
        <w:t xml:space="preserve">Formative check: 測驗結果，教師根據學生的答案評估他們的理解情況。</w:t>
      </w:r>
    </w:p>
    <w:p>
      <w:pPr>
        <w:pStyle w:val="Compact"/>
        <w:numPr>
          <w:ilvl w:val="0"/>
          <w:numId w:val="1006"/>
        </w:numPr>
      </w:pPr>
      <w:r>
        <w:t xml:space="preserve">UDL &amp; differentiation:</w:t>
      </w:r>
    </w:p>
    <w:p>
      <w:pPr>
        <w:pStyle w:val="Compact"/>
        <w:numPr>
          <w:ilvl w:val="0"/>
          <w:numId w:val="1006"/>
        </w:numPr>
      </w:pPr>
      <w:r>
        <w:t xml:space="preserve">提供額外的學習資源和練習題給需要進一步幫助的學生。</w:t>
      </w:r>
    </w:p>
    <w:p>
      <w:pPr>
        <w:pStyle w:val="Compact"/>
        <w:numPr>
          <w:ilvl w:val="0"/>
          <w:numId w:val="1006"/>
        </w:numPr>
      </w:pPr>
      <w:r>
        <w:t xml:space="preserve">高級學生可以選擇提出自己的問題並回答同學的問題。</w:t>
      </w:r>
    </w:p>
    <w:bookmarkEnd w:id="25"/>
    <w:bookmarkStart w:id="26" w:name="總結"/>
    <w:p>
      <w:pPr>
        <w:pStyle w:val="Heading2"/>
      </w:pPr>
      <w:r>
        <w:t xml:space="preserve">總結</w:t>
      </w:r>
    </w:p>
    <w:p>
      <w:pPr>
        <w:pStyle w:val="FirstParagraph"/>
      </w:pPr>
      <w:r>
        <w:t xml:space="preserve">這個5E教學序列計劃旨在幫助八年級學生有效地掌握畢氏定理的概念並能夠應用於實際問題中。通過連貫的活動和反思，學生將能夠在不同的情境中運用這一數學理論。</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2026-10-07T08:23:41Z</dcterms:created>
  <dcterms:modified xsi:type="dcterms:W3CDTF">2026-10-07T08:23:41Z</dcterms:modified>
</cp:coreProperties>
</file>

<file path=docProps/custom.xml><?xml version="1.0" encoding="utf-8"?>
<Properties xmlns="http://schemas.openxmlformats.org/officeDocument/2006/custom-properties" xmlns:vt="http://schemas.openxmlformats.org/officeDocument/2006/docPropsVTypes"/>
</file>