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5" w:history="1">
        <w:r w:rsidRPr="009502FD">
          <w:rPr>
            <w:color w:val="2F2FB1"/>
          </w:rPr>
          <w:t>OSA Open Access Publishing Agreement</w:t>
        </w:r>
      </w:hyperlink>
    </w:p>
    <w:p w:rsidR="00497360" w:rsidRDefault="00497360" w:rsidP="00497360">
      <w:pPr>
        <w:pStyle w:val="08SectionHeader10"/>
        <w:numPr>
          <w:ilvl w:val="0"/>
          <w:numId w:val="5"/>
        </w:numPr>
      </w:pPr>
      <w:r>
        <w:t>Introduction</w:t>
      </w:r>
    </w:p>
    <w:p w:rsidR="00541110" w:rsidRDefault="002E4D7F" w:rsidP="00541110">
      <w:pPr>
        <w:pStyle w:val="08SectionHeader1"/>
      </w:pPr>
      <w:r>
        <w:t>Body</w:t>
      </w:r>
    </w:p>
    <w:p w:rsidR="00541110" w:rsidRPr="00CD0466" w:rsidRDefault="00541110" w:rsidP="00541110">
      <w:pPr>
        <w:pStyle w:val="08SectionHeader2"/>
      </w:pPr>
      <w:r>
        <w:t>3.1 Hardware</w:t>
      </w: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w:t>
      </w:r>
      <w:r>
        <w:lastRenderedPageBreak/>
        <w:t xml:space="preserve">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7063"/>
        <w:gridCol w:w="47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fldChar w:fldCharType="begin"/>
            </w:r>
            <w:r>
              <w:instrText xml:space="preserve"> SEQ Eq \* MERGEFORMAT </w:instrText>
            </w:r>
            <w:r>
              <w:fldChar w:fldCharType="separate"/>
            </w:r>
            <w:r>
              <w:rPr>
                <w:noProof/>
              </w:rPr>
              <w:t>1</w:t>
            </w:r>
            <w:r>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7063"/>
        <w:gridCol w:w="473"/>
      </w:tblGrid>
      <w:tr w:rsidR="00934333" w:rsidTr="008B3C26">
        <w:tc>
          <w:tcPr>
            <w:tcW w:w="7195" w:type="dxa"/>
            <w:vAlign w:val="center"/>
          </w:tcPr>
          <w:p w:rsidR="00934333" w:rsidRDefault="00934333" w:rsidP="008B3C26">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8B3C26">
            <w:pPr>
              <w:pStyle w:val="Equation"/>
              <w:tabs>
                <w:tab w:val="clear" w:pos="4680"/>
                <w:tab w:val="left" w:pos="2970"/>
              </w:tabs>
              <w:jc w:val="both"/>
            </w:pPr>
            <w:r>
              <w:t>(</w:t>
            </w:r>
            <w:r>
              <w:fldChar w:fldCharType="begin"/>
            </w:r>
            <w:r>
              <w:instrText xml:space="preserve"> SEQ Eq \* MERGEFORMAT </w:instrText>
            </w:r>
            <w:r>
              <w:fldChar w:fldCharType="separate"/>
            </w:r>
            <w:r>
              <w:rPr>
                <w:noProof/>
              </w:rPr>
              <w:t>2</w:t>
            </w:r>
            <w:r>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7063"/>
        <w:gridCol w:w="473"/>
      </w:tblGrid>
      <w:tr w:rsidR="00443462" w:rsidTr="008B3C26">
        <w:tc>
          <w:tcPr>
            <w:tcW w:w="7195" w:type="dxa"/>
            <w:vAlign w:val="center"/>
          </w:tcPr>
          <w:p w:rsidR="00443462" w:rsidRDefault="00443462" w:rsidP="008B3C26">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8B3C26">
            <w:pPr>
              <w:pStyle w:val="Equation"/>
              <w:tabs>
                <w:tab w:val="clear" w:pos="4680"/>
                <w:tab w:val="left" w:pos="2970"/>
              </w:tabs>
              <w:jc w:val="both"/>
            </w:pPr>
            <w:r>
              <w:t>(</w:t>
            </w:r>
            <w:r>
              <w:fldChar w:fldCharType="begin"/>
            </w:r>
            <w:r>
              <w:instrText xml:space="preserve"> SEQ Eq \* MERGEFORMAT </w:instrText>
            </w:r>
            <w:r>
              <w:fldChar w:fldCharType="separate"/>
            </w:r>
            <w:r>
              <w:rPr>
                <w:noProof/>
              </w:rPr>
              <w:t>3</w:t>
            </w:r>
            <w:r>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w:t>
      </w:r>
      <w:r w:rsidR="00610532">
        <w:t>0</w:t>
      </w:r>
      <w:bookmarkStart w:id="0" w:name="_GoBack"/>
      <w:bookmarkEnd w:id="0"/>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7063"/>
        <w:gridCol w:w="473"/>
      </w:tblGrid>
      <w:tr w:rsidR="00443462" w:rsidTr="00443462">
        <w:tc>
          <w:tcPr>
            <w:tcW w:w="7063" w:type="dxa"/>
            <w:vAlign w:val="center"/>
          </w:tcPr>
          <w:p w:rsidR="00443462" w:rsidRDefault="00443462" w:rsidP="008B3C26">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8B3C26">
            <w:pPr>
              <w:pStyle w:val="Equation"/>
              <w:tabs>
                <w:tab w:val="clear" w:pos="4680"/>
                <w:tab w:val="left" w:pos="2970"/>
              </w:tabs>
              <w:jc w:val="both"/>
            </w:pPr>
            <w:r w:rsidRPr="009D789B">
              <w:t>(</w:t>
            </w:r>
            <w:r>
              <w:fldChar w:fldCharType="begin"/>
            </w:r>
            <w:r>
              <w:instrText xml:space="preserve"> SEQ Eq \* MERGEFORMAT </w:instrText>
            </w:r>
            <w:r>
              <w:fldChar w:fldCharType="separate"/>
            </w:r>
            <w:r>
              <w:rPr>
                <w:noProof/>
              </w:rPr>
              <w:t>4</w:t>
            </w:r>
            <w:r>
              <w:rPr>
                <w:noProof/>
              </w:rPr>
              <w:fldChar w:fldCharType="end"/>
            </w:r>
            <w:r w:rsidRPr="009D789B">
              <w:t>)</w:t>
            </w:r>
          </w:p>
        </w:tc>
      </w:tr>
      <w:tr w:rsidR="00443462" w:rsidTr="00443462">
        <w:tc>
          <w:tcPr>
            <w:tcW w:w="7063" w:type="dxa"/>
          </w:tcPr>
          <w:p w:rsidR="00443462" w:rsidRDefault="00443462" w:rsidP="008B3C26">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8B3C26">
            <w:pPr>
              <w:pStyle w:val="Equation"/>
              <w:tabs>
                <w:tab w:val="clear" w:pos="4680"/>
                <w:tab w:val="left" w:pos="2970"/>
              </w:tabs>
              <w:jc w:val="both"/>
            </w:pPr>
            <w:r w:rsidRPr="009D789B">
              <w:t>(</w:t>
            </w:r>
            <w:r>
              <w:fldChar w:fldCharType="begin"/>
            </w:r>
            <w:r>
              <w:instrText xml:space="preserve"> SEQ Eq \* MERGEFORMAT </w:instrText>
            </w:r>
            <w:r>
              <w:fldChar w:fldCharType="separate"/>
            </w:r>
            <w:r>
              <w:rPr>
                <w:noProof/>
              </w:rPr>
              <w:t>5</w:t>
            </w:r>
            <w:r>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7063"/>
        <w:gridCol w:w="473"/>
      </w:tblGrid>
      <w:tr w:rsidR="009E7EC3" w:rsidTr="008B3C26">
        <w:tc>
          <w:tcPr>
            <w:tcW w:w="7195" w:type="dxa"/>
            <w:vAlign w:val="center"/>
          </w:tcPr>
          <w:p w:rsidR="009E7EC3" w:rsidRDefault="009E7EC3" w:rsidP="008B3C26">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8B3C26">
            <w:pPr>
              <w:pStyle w:val="Equation"/>
              <w:tabs>
                <w:tab w:val="clear" w:pos="4680"/>
                <w:tab w:val="left" w:pos="2970"/>
              </w:tabs>
              <w:jc w:val="both"/>
            </w:pPr>
            <w:r w:rsidRPr="009D789B">
              <w:t>(</w:t>
            </w:r>
            <w:r>
              <w:fldChar w:fldCharType="begin"/>
            </w:r>
            <w:r>
              <w:instrText xml:space="preserve"> SEQ Eq \* MERGEFORMAT </w:instrText>
            </w:r>
            <w:r>
              <w:fldChar w:fldCharType="separate"/>
            </w:r>
            <w:r>
              <w:rPr>
                <w:noProof/>
              </w:rPr>
              <w:t>6</w:t>
            </w:r>
            <w:r>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fldChar w:fldCharType="begin"/>
      </w:r>
      <w:r>
        <w:instrText xml:space="preserve"> SEQ Eq \* MERGEFORMAT </w:instrText>
      </w:r>
      <w:r>
        <w:fldChar w:fldCharType="separate"/>
      </w:r>
      <w:r>
        <w:rPr>
          <w:noProof/>
        </w:rPr>
        <w:t>7</w:t>
      </w:r>
      <w:r>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8</w:t>
      </w:r>
      <w:r>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9</w:t>
      </w:r>
      <w:r>
        <w:rPr>
          <w:noProof/>
        </w:rPr>
        <w:fldChar w:fldCharType="end"/>
      </w:r>
      <w:r>
        <w:t>)</w:t>
      </w:r>
    </w:p>
    <w:p w:rsidR="002E4D7F" w:rsidRPr="00A549C3" w:rsidRDefault="002E4D7F" w:rsidP="002E4D7F">
      <w:pPr>
        <w:pStyle w:val="Equation"/>
      </w:pPr>
      <w:r>
        <w:lastRenderedPageBreak/>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fldChar w:fldCharType="begin"/>
      </w:r>
      <w:r>
        <w:instrText xml:space="preserve"> SEQ Eq \* MERGEFORMAT </w:instrText>
      </w:r>
      <w:r>
        <w:fldChar w:fldCharType="separate"/>
      </w:r>
      <w:r>
        <w:rPr>
          <w:noProof/>
        </w:rPr>
        <w:t>10</w:t>
      </w:r>
      <w:r>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fldChar w:fldCharType="begin"/>
      </w:r>
      <w:r>
        <w:instrText xml:space="preserve"> SEQ Eq \* MERGEFORMAT </w:instrText>
      </w:r>
      <w:r>
        <w:fldChar w:fldCharType="separate"/>
      </w:r>
      <w:r>
        <w:rPr>
          <w:noProof/>
        </w:rPr>
        <w:t>11</w:t>
      </w:r>
      <w:r>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fldChar w:fldCharType="begin"/>
      </w:r>
      <w:r>
        <w:instrText xml:space="preserve"> SEQ Eq \* MERGEFORMAT </w:instrText>
      </w:r>
      <w:r>
        <w:fldChar w:fldCharType="separate"/>
      </w:r>
      <w:r>
        <w:rPr>
          <w:noProof/>
        </w:rPr>
        <w:t>12</w:t>
      </w:r>
      <w:r>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fldChar w:fldCharType="begin"/>
      </w:r>
      <w:r>
        <w:instrText xml:space="preserve"> SEQ Eq \* MERGEFORMAT </w:instrText>
      </w:r>
      <w:r>
        <w:fldChar w:fldCharType="separate"/>
      </w:r>
      <w:r>
        <w:rPr>
          <w:noProof/>
        </w:rPr>
        <w:t>13</w:t>
      </w:r>
      <w:r>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fldChar w:fldCharType="begin"/>
      </w:r>
      <w:r>
        <w:instrText xml:space="preserve"> SEQ Eq \* MERGEFORMAT </w:instrText>
      </w:r>
      <w:r>
        <w:fldChar w:fldCharType="separate"/>
      </w:r>
      <w:r>
        <w:rPr>
          <w:noProof/>
        </w:rPr>
        <w:t>14</w:t>
      </w:r>
      <w:r>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fldChar w:fldCharType="begin"/>
      </w:r>
      <w:r>
        <w:instrText xml:space="preserve"> SEQ Eq \* MERGEFORMAT </w:instrText>
      </w:r>
      <w:r>
        <w:fldChar w:fldCharType="separate"/>
      </w:r>
      <w:r>
        <w:rPr>
          <w:noProof/>
        </w:rPr>
        <w:t>15</w:t>
      </w:r>
      <w:r>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lastRenderedPageBreak/>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D9125C">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497360" w:rsidRPr="003075E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7"/>
  </w:num>
  <w:num w:numId="3">
    <w:abstractNumId w:val="12"/>
  </w:num>
  <w:num w:numId="4">
    <w:abstractNumId w:val="14"/>
  </w:num>
  <w:num w:numId="5">
    <w:abstractNumId w:val="11"/>
  </w:num>
  <w:num w:numId="6">
    <w:abstractNumId w:val="16"/>
  </w:num>
  <w:num w:numId="7">
    <w:abstractNumId w:val="15"/>
  </w:num>
  <w:num w:numId="8">
    <w:abstractNumId w:val="19"/>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22A47"/>
    <w:rsid w:val="00025EED"/>
    <w:rsid w:val="00036639"/>
    <w:rsid w:val="000366A8"/>
    <w:rsid w:val="000615EE"/>
    <w:rsid w:val="00062D82"/>
    <w:rsid w:val="00086BC8"/>
    <w:rsid w:val="00092896"/>
    <w:rsid w:val="00111F6A"/>
    <w:rsid w:val="0012111D"/>
    <w:rsid w:val="00176184"/>
    <w:rsid w:val="001920EE"/>
    <w:rsid w:val="001A28CD"/>
    <w:rsid w:val="0020118A"/>
    <w:rsid w:val="002A2E82"/>
    <w:rsid w:val="002D43D6"/>
    <w:rsid w:val="002E2F1C"/>
    <w:rsid w:val="002E4D7F"/>
    <w:rsid w:val="002F13BA"/>
    <w:rsid w:val="002F14ED"/>
    <w:rsid w:val="002F389C"/>
    <w:rsid w:val="003075EC"/>
    <w:rsid w:val="003149C3"/>
    <w:rsid w:val="00331AB2"/>
    <w:rsid w:val="00333C67"/>
    <w:rsid w:val="00350965"/>
    <w:rsid w:val="0036209C"/>
    <w:rsid w:val="00381489"/>
    <w:rsid w:val="00383428"/>
    <w:rsid w:val="00394FAA"/>
    <w:rsid w:val="003B1339"/>
    <w:rsid w:val="003C2B33"/>
    <w:rsid w:val="003F2F9F"/>
    <w:rsid w:val="004048F5"/>
    <w:rsid w:val="00416CDD"/>
    <w:rsid w:val="00432E94"/>
    <w:rsid w:val="00443462"/>
    <w:rsid w:val="0046510A"/>
    <w:rsid w:val="0048331C"/>
    <w:rsid w:val="00497360"/>
    <w:rsid w:val="004D54AD"/>
    <w:rsid w:val="004E5380"/>
    <w:rsid w:val="00535347"/>
    <w:rsid w:val="00541110"/>
    <w:rsid w:val="00560F5B"/>
    <w:rsid w:val="00562057"/>
    <w:rsid w:val="00591164"/>
    <w:rsid w:val="00595A48"/>
    <w:rsid w:val="005A33E2"/>
    <w:rsid w:val="005C5922"/>
    <w:rsid w:val="005F19E0"/>
    <w:rsid w:val="005F4008"/>
    <w:rsid w:val="006005DA"/>
    <w:rsid w:val="00610532"/>
    <w:rsid w:val="006270B3"/>
    <w:rsid w:val="00643829"/>
    <w:rsid w:val="006508E1"/>
    <w:rsid w:val="00674706"/>
    <w:rsid w:val="006B1167"/>
    <w:rsid w:val="006E3663"/>
    <w:rsid w:val="007157C5"/>
    <w:rsid w:val="00762B85"/>
    <w:rsid w:val="007944D3"/>
    <w:rsid w:val="007A717D"/>
    <w:rsid w:val="007B2071"/>
    <w:rsid w:val="007B6528"/>
    <w:rsid w:val="007D7494"/>
    <w:rsid w:val="007E0951"/>
    <w:rsid w:val="007E1A52"/>
    <w:rsid w:val="007F35CC"/>
    <w:rsid w:val="0080185D"/>
    <w:rsid w:val="00804C9B"/>
    <w:rsid w:val="0081577A"/>
    <w:rsid w:val="00824C53"/>
    <w:rsid w:val="008C57CE"/>
    <w:rsid w:val="008E4E83"/>
    <w:rsid w:val="00907C09"/>
    <w:rsid w:val="00913DA7"/>
    <w:rsid w:val="00934333"/>
    <w:rsid w:val="009508BC"/>
    <w:rsid w:val="00974BEF"/>
    <w:rsid w:val="009909E8"/>
    <w:rsid w:val="00994199"/>
    <w:rsid w:val="009E7EC3"/>
    <w:rsid w:val="00A035D7"/>
    <w:rsid w:val="00A40EFB"/>
    <w:rsid w:val="00A52528"/>
    <w:rsid w:val="00A55B30"/>
    <w:rsid w:val="00A568B6"/>
    <w:rsid w:val="00A62764"/>
    <w:rsid w:val="00AF719D"/>
    <w:rsid w:val="00B345AD"/>
    <w:rsid w:val="00B84E55"/>
    <w:rsid w:val="00B971C8"/>
    <w:rsid w:val="00BB73D5"/>
    <w:rsid w:val="00BC55D1"/>
    <w:rsid w:val="00BD2F0B"/>
    <w:rsid w:val="00BF0997"/>
    <w:rsid w:val="00BF31BA"/>
    <w:rsid w:val="00BF64A9"/>
    <w:rsid w:val="00C202EA"/>
    <w:rsid w:val="00C413BF"/>
    <w:rsid w:val="00C90584"/>
    <w:rsid w:val="00CB0396"/>
    <w:rsid w:val="00CD0466"/>
    <w:rsid w:val="00CE587E"/>
    <w:rsid w:val="00CF4045"/>
    <w:rsid w:val="00D07434"/>
    <w:rsid w:val="00D14DF9"/>
    <w:rsid w:val="00D2683C"/>
    <w:rsid w:val="00D4248B"/>
    <w:rsid w:val="00D44604"/>
    <w:rsid w:val="00D91A4A"/>
    <w:rsid w:val="00DD2514"/>
    <w:rsid w:val="00DF6C7C"/>
    <w:rsid w:val="00E00665"/>
    <w:rsid w:val="00E71198"/>
    <w:rsid w:val="00E86B64"/>
    <w:rsid w:val="00EA0214"/>
    <w:rsid w:val="00EB38EC"/>
    <w:rsid w:val="00EC0262"/>
    <w:rsid w:val="00EC755F"/>
    <w:rsid w:val="00ED2C69"/>
    <w:rsid w:val="00EF09E8"/>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2982"/>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64/OA_License_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Lemaillet, Paul</cp:lastModifiedBy>
  <cp:revision>8</cp:revision>
  <dcterms:created xsi:type="dcterms:W3CDTF">2019-07-09T16:57:00Z</dcterms:created>
  <dcterms:modified xsi:type="dcterms:W3CDTF">2019-07-09T17:13:00Z</dcterms:modified>
</cp:coreProperties>
</file>