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r>
        <w:rPr/>
        <w:t xml:space="preserve">I propose that we sign a standard nondisclosure agreement on the following terms, which I certify are exactly the same as </w:t>
      </w:r>
      <w:r>
        <w:rPr>
          <w:b/>
        </w:rPr>
        <w:t xml:space="preserve">The Waypoint NDA Version 4.0.1 </w:t>
      </w:r>
      <w:r>
        <w:rPr/>
        <w:t xml:space="preserve">published at </w:t>
      </w:r>
      <w:bookmarkStart w:id="0" w:name="__DdeLink__410_786917921"/>
      <w:bookmarkEnd w:id="0"/>
      <w:r>
        <w:rPr/>
        <w:t>waypointnda.com.</w:t>
      </w:r>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1" w:name="__DdeLink__494_646533662"/>
      <w:r>
        <w:rPr/>
        <w:t>_____________________________</w:t>
      </w:r>
      <w:bookmarkStart w:id="2" w:name="__DdeLink__493_162727990"/>
      <w:bookmarkEnd w:id="1"/>
      <w:r>
        <w:rPr/>
        <w:t>__________</w:t>
        <w:br/>
        <w:t>_______________________________________</w:t>
        <w:br/>
        <w:t>_______________________________________</w:t>
        <w:br/>
        <w:t>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w:t>
        <w:br/>
        <w:t>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w:t>
        <w:br/>
      </w:r>
      <w:r>
        <w:rPr>
          <w:b w:val="false"/>
          <w:bCs w:val="false"/>
          <w:u w:val="none"/>
        </w:rPr>
        <w:t>[Optional. State how long the agreement will cover new confidential information disclosed.]</w:t>
      </w:r>
    </w:p>
    <w:p>
      <w:pPr>
        <w:pStyle w:val="Normal"/>
        <w:widowControl/>
        <w:bidi w:val="0"/>
        <w:spacing w:lineRule="auto" w:line="360" w:before="244" w:after="244"/>
        <w:ind w:left="2160" w:right="2160" w:hanging="2160"/>
        <w:jc w:val="left"/>
        <w:rPr/>
      </w:pPr>
      <w:r>
        <w:rPr/>
      </w:r>
    </w:p>
    <w:p>
      <w:pPr>
        <w:ind w:firstLine="0"/>
        <w:jc w:val="start"/>
      </w:pPr>
      <w:r>
        <w:rPr>
          <w:b/>
          <w:u w:val="none"/>
        </w:rPr>
        <w:t xml:space="preserve">The Waypoint NDA</w:t>
      </w:r>
    </w:p>
    <w:p>
      <w:pPr>
        <w:ind w:firstLine="0"/>
        <w:jc w:val="start"/>
      </w:pPr>
      <w:r>
        <w:rPr>
          <w:b/>
          <w:u w:val="none"/>
        </w:rPr>
        <w:t xml:space="preserve">Version 4.0.1</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natural-person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into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into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Mergers and Acquisitions</w:t>
      </w:r>
      <w:r>
        <w:rPr>
          <w:u w:val="none"/>
        </w:rPr>
        <w:t xml:space="preserve">.</w:t>
      </w:r>
      <w:r>
        <w:rPr>
          <w:u w:val="none"/>
        </w:rPr>
        <w:t xml:space="preserve"> </w:t>
      </w:r>
      <w:r>
        <w:rPr>
          <w:u w:val="none"/>
        </w:rPr>
        <w:t xml:space="preserve">These terms apply only if the </w:t>
      </w:r>
      <w:r>
        <w:rPr>
          <w:u w:val="none"/>
        </w:rPr>
        <w:t xml:space="preserve">Purpose</w:t>
      </w:r>
      <w:r>
        <w:rPr>
          <w:u w:val="none"/>
        </w:rPr>
        <w:t xml:space="preserve"> relates to a potential merger or acquisition of one of the parties, their parents or subsidiaries, substantially all of their assets, or their line of business:</w:t>
      </w:r>
    </w:p>
    <w:p>
      <w:pPr>
        <w:ind w:left="1440" w:firstLine="-720"/>
        <w:jc w:val="start"/>
      </w:pPr>
      <w:r>
        <w:rPr>
          <w:u w:val="none"/>
        </w:rPr>
        <w:t xml:space="preserve">(a)</w:t>
      </w:r>
      <w:r>
        <w:tab/>
      </w:r>
      <w:r>
        <w:rPr>
          <w:b/>
          <w:u w:val="none"/>
        </w:rPr>
        <w:t xml:space="preserve">No Unauthorized Market Due Diligence</w:t>
      </w:r>
      <w:r>
        <w:rPr>
          <w:u w:val="none"/>
        </w:rPr>
        <w:t xml:space="preserve">.</w:t>
      </w:r>
      <w:r>
        <w:rPr>
          <w:u w:val="none"/>
        </w:rPr>
        <w:t xml:space="preserve"> </w:t>
      </w:r>
      <w:r>
        <w:rPr>
          <w:u w:val="none"/>
        </w:rPr>
        <w:t xml:space="preserve">If the potential merger or acquisition is an acquisition, the buying side shall not directly or through others communicate about the potential merger or acquisition with any executive, employee, customer, vendor, or supplier of the other party, or seek any information in connection with the potential merger or acquisition from them, without prior, written consent. If the potential merger or acquisition is a “merger of equals” where neither side is clearly target or acquirer, neither party shall do so.</w:t>
      </w:r>
    </w:p>
    <w:p>
      <w:pPr>
        <w:ind w:left="1440" w:firstLine="-720"/>
        <w:jc w:val="start"/>
      </w:pPr>
      <w:r>
        <w:rPr>
          <w:u w:val="none"/>
        </w:rPr>
        <w:t xml:space="preserve">(b)</w:t>
      </w:r>
      <w:r>
        <w:tab/>
      </w:r>
      <w:r>
        <w:rPr>
          <w:b/>
          <w:u w:val="none"/>
        </w:rPr>
        <w:t xml:space="preserve">Disclosure to Funding Sources</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a source of financing for the potential merger or acquisition, an </w:t>
      </w:r>
      <w:r>
        <w:rPr>
          <w:u w:val="none"/>
        </w:rPr>
        <w:t xml:space="preserve">Affiliate</w:t>
      </w:r>
      <w:r>
        <w:rPr>
          <w:u w:val="none"/>
        </w:rPr>
        <w:t xml:space="preserve">, a limited partner, a member, a stockholder, or other investor. Breach of </w:t>
      </w:r>
      <w:r>
        <w:rPr>
          <w:u w:val="none"/>
        </w:rPr>
        <w:t xml:space="preserve">Receiving Party</w:t>
      </w:r>
      <w:r>
        <w:rPr>
          <w:u w:val="none"/>
        </w:rPr>
        <w:t xml:space="preserve"> obligations by such recipients will be deemed breach of this agreement by </w:t>
      </w:r>
      <w:r>
        <w:rPr>
          <w:u w:val="none"/>
        </w:rPr>
        <w:t xml:space="preserve">Receiving Party</w:t>
      </w:r>
      <w:r>
        <w:rPr>
          <w:u w:val="none"/>
        </w:rPr>
        <w:t xml:space="preserve"> itself.</w:t>
      </w:r>
    </w:p>
    <w:p>
      <w:pPr>
        <w:ind w:left="1440" w:firstLine="-720"/>
        <w:jc w:val="start"/>
      </w:pPr>
      <w:r>
        <w:rPr>
          <w:u w:val="none"/>
        </w:rPr>
        <w:t xml:space="preserve">(c)</w:t>
      </w:r>
      <w:r>
        <w:tab/>
      </w:r>
      <w:r>
        <w:rPr>
          <w:b/>
          <w:u w:val="none"/>
        </w:rPr>
        <w:t xml:space="preserve">Nonsolicitation</w:t>
      </w:r>
      <w:r>
        <w:rPr>
          <w:u w:val="none"/>
        </w:rPr>
        <w:t xml:space="preserve">.</w:t>
      </w:r>
    </w:p>
    <w:p>
      <w:pPr>
        <w:ind w:left="2160" w:firstLine="-720"/>
        <w:jc w:val="start"/>
      </w:pPr>
      <w:r>
        <w:rPr>
          <w:u w:val="none"/>
        </w:rPr>
        <w:t xml:space="preserve">(i)</w:t>
      </w:r>
      <w:r>
        <w:tab/>
      </w:r>
      <w:r>
        <w:rPr>
          <w:b/>
          <w:u w:val="none"/>
        </w:rPr>
        <w:t xml:space="preserve">Targeted Solicitation</w:t>
      </w:r>
      <w:r>
        <w:rPr>
          <w:u w:val="none"/>
        </w:rPr>
        <w:t xml:space="preserve">.</w:t>
      </w:r>
      <w:r>
        <w:rPr>
          <w:u w:val="none"/>
        </w:rPr>
        <w:t xml:space="preserve"> </w:t>
      </w:r>
      <w:r>
        <w:rPr>
          <w:u w:val="none"/>
        </w:rPr>
        <w:t xml:space="preserve">Except as described in </w:t>
      </w:r>
      <w:r>
        <w:rPr>
          <w:i/>
          <w:u w:val="none"/>
        </w:rPr>
        <w:t xml:space="preserve">Section 8(c)(ii)</w:t>
      </w:r>
      <w:r>
        <w:rPr>
          <w:u w:val="none"/>
        </w:rPr>
        <w:t xml:space="preserve"> (Former Personnel)</w:t>
      </w:r>
      <w:r>
        <w:rPr>
          <w:u w:val="none"/>
        </w:rPr>
        <w:t xml:space="preserve"> or </w:t>
      </w:r>
      <w:r>
        <w:rPr>
          <w:i/>
          <w:u w:val="none"/>
        </w:rPr>
        <w:t xml:space="preserve">Section 8(c)(iii)</w:t>
      </w:r>
      <w:r>
        <w:rPr>
          <w:u w:val="none"/>
        </w:rPr>
        <w:t xml:space="preserve"> (General Solicitation)</w:t>
      </w:r>
      <w:r>
        <w:rPr>
          <w:u w:val="none"/>
        </w:rPr>
        <w:t xml:space="preserve">, until one year after the date of this agreement, and to the fullest extent permitted by law, neither party shall solicit to hire or actually hire any of the following personnel that they become aware of, or about whose performance they learn, in connection with the potential merger or acquisition, without the prior, signed, written consent of the other party:</w:t>
      </w:r>
    </w:p>
    <w:p>
      <w:pPr>
        <w:ind w:left="2880" w:firstLine="-720"/>
        <w:jc w:val="start"/>
      </w:pPr>
      <w:r>
        <w:rPr>
          <w:u w:val="none"/>
        </w:rPr>
        <w:t xml:space="preserve">(A)</w:t>
      </w:r>
      <w:r>
        <w:tab/>
      </w:r>
      <w:r>
        <w:rPr>
          <w:u w:val="none"/>
        </w:rPr>
        <w:t xml:space="preserve">any executive employed by the other party or its </w:t>
      </w:r>
      <w:r>
        <w:rPr>
          <w:u w:val="none"/>
        </w:rPr>
        <w:t xml:space="preserve">Affiliate</w:t>
      </w:r>
      <w:r>
        <w:rPr>
          <w:u w:val="none"/>
        </w:rPr>
        <w:t xml:space="preserve">;</w:t>
      </w:r>
    </w:p>
    <w:p>
      <w:pPr>
        <w:ind w:left="2880" w:firstLine="-720"/>
        <w:jc w:val="start"/>
      </w:pPr>
      <w:r>
        <w:rPr>
          <w:u w:val="none"/>
        </w:rPr>
        <w:t xml:space="preserve">(B)</w:t>
      </w:r>
      <w:r>
        <w:tab/>
      </w:r>
      <w:r>
        <w:rPr>
          <w:u w:val="none"/>
        </w:rPr>
        <w:t xml:space="preserve">any other employee of the other party or its </w:t>
      </w:r>
      <w:r>
        <w:rPr>
          <w:u w:val="none"/>
        </w:rPr>
        <w:t xml:space="preserve">Affiliate</w:t>
      </w:r>
      <w:r>
        <w:rPr>
          <w:u w:val="none"/>
        </w:rPr>
        <w:t xml:space="preserve">; or</w:t>
      </w:r>
    </w:p>
    <w:p>
      <w:pPr>
        <w:ind w:left="2880" w:firstLine="-720"/>
        <w:jc w:val="start"/>
      </w:pPr>
      <w:r>
        <w:rPr>
          <w:u w:val="none"/>
        </w:rPr>
        <w:t xml:space="preserve">(C)</w:t>
      </w:r>
      <w:r>
        <w:tab/>
      </w:r>
      <w:r>
        <w:rPr>
          <w:u w:val="none"/>
        </w:rPr>
        <w:t xml:space="preserve">any natural-person independent contractor providing services exclusively to the other party or its </w:t>
      </w:r>
      <w:r>
        <w:rPr>
          <w:u w:val="none"/>
        </w:rPr>
        <w:t xml:space="preserve">Affiliate</w:t>
      </w:r>
    </w:p>
    <w:p>
      <w:pPr>
        <w:ind w:left="2160" w:firstLine="-720"/>
        <w:jc w:val="start"/>
      </w:pPr>
      <w:r>
        <w:rPr>
          <w:u w:val="none"/>
        </w:rPr>
        <w:t xml:space="preserve">(ii)</w:t>
      </w:r>
      <w:r>
        <w:tab/>
      </w:r>
      <w:r>
        <w:rPr>
          <w:b/>
          <w:u w:val="none"/>
        </w:rPr>
        <w:t xml:space="preserve">Former Personnel</w:t>
      </w:r>
      <w:r>
        <w:rPr>
          <w:u w:val="none"/>
        </w:rPr>
        <w:t xml:space="preserve">.</w:t>
      </w:r>
      <w:r>
        <w:rPr>
          <w:u w:val="none"/>
        </w:rPr>
        <w:t xml:space="preserve"> </w:t>
      </w:r>
      <w:r>
        <w:rPr>
          <w:u w:val="none"/>
        </w:rPr>
        <w:t xml:space="preserve">A party may solicit or hire personnel after their working relationships with the other party or its </w:t>
      </w:r>
      <w:r>
        <w:rPr>
          <w:u w:val="none"/>
        </w:rPr>
        <w:t xml:space="preserve">Affiliate</w:t>
      </w:r>
      <w:r>
        <w:rPr>
          <w:u w:val="none"/>
        </w:rPr>
        <w:t xml:space="preserve"> have ended, so long as their relationships did not end at the encouragement of the soliciting or hiring party.</w:t>
      </w:r>
    </w:p>
    <w:p>
      <w:pPr>
        <w:ind w:left="2160" w:firstLine="-720"/>
        <w:jc w:val="start"/>
      </w:pPr>
      <w:r>
        <w:rPr>
          <w:u w:val="none"/>
        </w:rPr>
        <w:t xml:space="preserve">(iii)</w:t>
      </w:r>
      <w:r>
        <w:tab/>
      </w:r>
      <w:r>
        <w:rPr>
          <w:b/>
          <w:u w:val="none"/>
        </w:rPr>
        <w:t xml:space="preserve">General Solicitation</w:t>
      </w:r>
      <w:r>
        <w:rPr>
          <w:u w:val="none"/>
        </w:rPr>
        <w:t xml:space="preserve">.</w:t>
      </w:r>
      <w:r>
        <w:rPr>
          <w:u w:val="none"/>
        </w:rPr>
        <w:t xml:space="preserve"> </w:t>
      </w:r>
      <w:r>
        <w:rPr>
          <w:u w:val="none"/>
        </w:rPr>
        <w:t xml:space="preserve">This agreement does not restrict either party from hiring anyone who responds to an advertisement or announcement that was not specifically directed at personnel of the other party of its </w:t>
      </w:r>
      <w:r>
        <w:rPr>
          <w:u w:val="none"/>
        </w:rPr>
        <w:t xml:space="preserve">Affiliate</w:t>
      </w:r>
      <w:r>
        <w:rPr>
          <w:u w:val="none"/>
        </w:rPr>
        <w:t xml:space="preserve">, or any individual introduced by a recruitment firm that did not specifically target personnel of the other party or its </w:t>
      </w:r>
      <w:r>
        <w:rPr>
          <w:u w:val="none"/>
        </w:rPr>
        <w:t xml:space="preserve">Affiliate</w:t>
      </w:r>
      <w:r>
        <w:rPr>
          <w:u w:val="none"/>
        </w:rPr>
        <w:t xml:space="preserve">.</w:t>
      </w:r>
    </w:p>
    <w:p>
      <w:pPr>
        <w:ind w:left="1440" w:firstLine="-720"/>
        <w:jc w:val="start"/>
      </w:pPr>
      <w:r>
        <w:rPr>
          <w:u w:val="none"/>
        </w:rPr>
        <w:t xml:space="preserve">(d)</w:t>
      </w:r>
      <w:r>
        <w:tab/>
      </w:r>
      <w:r>
        <w:rPr>
          <w:b/>
          <w:u w:val="none"/>
        </w:rPr>
        <w:t xml:space="preserve">No Exclusive Financing</w:t>
      </w:r>
      <w:r>
        <w:rPr>
          <w:u w:val="none"/>
        </w:rPr>
        <w:t xml:space="preserve">.</w:t>
      </w:r>
      <w:r>
        <w:rPr>
          <w:u w:val="none"/>
        </w:rPr>
        <w:t xml:space="preserve"> </w:t>
      </w:r>
      <w:r>
        <w:rPr>
          <w:u w:val="none"/>
        </w:rPr>
        <w:t xml:space="preserve">Neither party shall, directly or through others, enter into any agreement for financing of the potential merger or acquisition on terms that would prohibit or be reasonably expected to impede any other potential acquirer from securing financing from that source.</w:t>
      </w:r>
    </w:p>
    <w:p>
      <w:pPr>
        <w:ind w:left="1440" w:firstLine="-720"/>
        <w:jc w:val="start"/>
      </w:pPr>
      <w:r>
        <w:rPr>
          <w:u w:val="none"/>
        </w:rPr>
        <w:t xml:space="preserve">(e)</w:t>
      </w:r>
      <w:r>
        <w:tab/>
      </w:r>
      <w:r>
        <w:rPr>
          <w:b/>
          <w:u w:val="none"/>
        </w:rPr>
        <w:t xml:space="preserve">Definition of Affiliate</w:t>
      </w:r>
      <w:r>
        <w:rPr>
          <w:u w:val="none"/>
        </w:rPr>
        <w:t xml:space="preserve">.</w:t>
      </w:r>
      <w:r>
        <w:rPr>
          <w:u w:val="none"/>
        </w:rPr>
        <w:t xml:space="preserve"> </w:t>
      </w:r>
      <w:r>
        <w:rPr>
          <w:u w:val="none"/>
        </w:rPr>
        <w:t xml:space="preserve">“</w:t>
      </w:r>
      <w:r>
        <w:rPr>
          <w:b/>
          <w:u w:val="none"/>
        </w:rPr>
        <w:t xml:space="preserve">Affiliate</w:t>
      </w:r>
      <w:r>
        <w:rPr>
          <w:u w:val="none"/>
        </w:rPr>
        <w:t xml:space="preserve">”</w:t>
      </w:r>
      <w:r>
        <w:rPr>
          <w:u w:val="none"/>
        </w:rPr>
        <w:t xml:space="preserve"> means any legal entity that has control over, is under the control of, or is under common control of another entity, where control means ownership of substantially all the assets of an entity or the power to direct its management and policies by vote, contract, or otherwise. Control can be direct or indirect.</w:t>
      </w:r>
    </w:p>
    <w:p>
      <w:pPr>
        <w:ind w:left="1440" w:firstLine="-720"/>
        <w:jc w:val="start"/>
      </w:pPr>
      <w:r>
        <w:rPr>
          <w:u w:val="none"/>
        </w:rPr>
        <w:t xml:space="preserve">(f)</w:t>
      </w:r>
      <w:r>
        <w:tab/>
      </w:r>
      <w:r>
        <w:rPr>
          <w:b/>
          <w:u w:val="none"/>
        </w:rPr>
        <w:t xml:space="preserve">Right to Assign</w:t>
      </w:r>
      <w:r>
        <w:rPr>
          <w:u w:val="none"/>
        </w:rPr>
        <w:t xml:space="preserve">.</w:t>
      </w:r>
      <w:r>
        <w:rPr>
          <w:u w:val="none"/>
        </w:rPr>
        <w:t xml:space="preserve"> </w:t>
      </w:r>
      <w:r>
        <w:rPr>
          <w:u w:val="none"/>
        </w:rPr>
        <w:t xml:space="preserve">Either party may assign this agreement as a whole in connection with a merger, acquisition, corporate reorganization, or sale of all or substantially all of its assets.</w:t>
      </w:r>
    </w:p>
    <w:p>
      <w:pPr>
        <w:ind w:left="720" w:firstLine="-720"/>
        <w:jc w:val="start"/>
      </w:pPr>
      <w:r>
        <w:rPr>
          <w:u w:val="none"/>
        </w:rPr>
        <w:t xml:space="preserve">9.</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Except under </w:t>
      </w:r>
      <w:r>
        <w:rPr>
          <w:i/>
          <w:u w:val="none"/>
        </w:rPr>
        <w:t xml:space="preserve">Section 8(f)</w:t>
      </w:r>
      <w:r>
        <w:rPr>
          <w:u w:val="none"/>
        </w:rPr>
        <w:t xml:space="preserve"> (Right to Assign)</w:t>
      </w:r>
      <w:r>
        <w:rPr>
          <w:u w:val="none"/>
        </w:rPr>
        <w:t xml:space="preserve">, if it applies, neither party may assign any right or delegate any obligation under this agreement, voluntarily or by operation of law, without the prior,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LibreOffice/6.1.5.2$Linux_X86_64 LibreOffice_project/10$Build-2</Application>
  <Pages>1</Pages>
  <Words>102</Words>
  <Characters>1051</Characters>
  <CharactersWithSpaces>1143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