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Политика cookies и локального хранения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Публичный документ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Что используется</w:t>
      </w:r>
    </w:p>
    <w:p>
      <w:r>
        <w:t>Cookies - небольшие записи браузера. Фактический код преимущественно использует localStorage, sessionStorage, IndexedDB и Cache Storage; правила настоящей Политики охватывают все эти технологии.</w:t>
      </w:r>
    </w:p>
    <w:p>
      <w:pPr>
        <w:pStyle w:val="Heading1"/>
      </w:pPr>
      <w:r>
        <w:t>2. Категории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Примеры</w:t>
            </w:r>
          </w:p>
        </w:tc>
        <w:tc>
          <w:tcPr>
            <w:tcW w:type="dxa" w:w="32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Основание/управление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Строго необходимые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авторизация, безопасность, корзина, маршрут возврата, PWA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необходимы для запрошенной функции; отключение ломает её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Предпочтения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город, избранное, сохранённый адрес, интерфейс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выбор пользователя; можно очистить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Offline/cache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страницы, изображения, карты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работоспособность PWA; должен исключать персональные фото/QR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Аналитические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будущие события посещения и ошибок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выключены по умолчанию; только после «Разрешить аналитику»</w:t>
            </w:r>
          </w:p>
        </w:tc>
      </w:tr>
      <w:tr>
        <w:trPr>
          <w:cantSplit/>
        </w:trPr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Рекламные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будущая атрибуция/профилирование</w:t>
            </w:r>
          </w:p>
        </w:tc>
        <w:tc>
          <w:tcPr>
            <w:tcW w:type="dxa" w:w="324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не используются без отдельного решения и согласия</w:t>
            </w:r>
          </w:p>
        </w:tc>
      </w:tr>
    </w:tbl>
    <w:p>
      <w:pPr>
        <w:pStyle w:val="Heading1"/>
      </w:pPr>
      <w:r>
        <w:t>3. Фактические ключи</w:t>
      </w:r>
    </w:p>
    <w:p>
      <w:r>
        <w:t xml:space="preserve">Сохраняются scoped Supabase auth tokens, </w:t>
      </w:r>
      <w:r>
        <w:rPr>
          <w:rFonts w:ascii="Courier New" w:hAnsi="Courier New"/>
          <w:sz w:val="18"/>
        </w:rPr>
        <w:t>waycatalog-client-session</w:t>
      </w:r>
      <w:r>
        <w:t xml:space="preserve">, профиль/адрес/координаты/корзина/черновик/заказы, платёжные настройки ресторана, служебные флаги; IndexedDB </w:t>
      </w:r>
      <w:r>
        <w:rPr>
          <w:rFonts w:ascii="Courier New" w:hAnsi="Courier New"/>
          <w:sz w:val="18"/>
        </w:rPr>
        <w:t>mangal-admin/dish-drafts</w:t>
      </w:r>
      <w:r>
        <w:t xml:space="preserve">; caches </w:t>
      </w:r>
      <w:r>
        <w:rPr>
          <w:rFonts w:ascii="Courier New" w:hAnsi="Courier New"/>
          <w:sz w:val="18"/>
        </w:rPr>
        <w:t>catalog-pages</w:t>
      </w:r>
      <w:r>
        <w:t xml:space="preserve">, </w:t>
      </w:r>
      <w:r>
        <w:rPr>
          <w:rFonts w:ascii="Courier New" w:hAnsi="Courier New"/>
          <w:sz w:val="18"/>
        </w:rPr>
        <w:t>catalog-images</w:t>
      </w:r>
      <w:r>
        <w:t xml:space="preserve">, </w:t>
      </w:r>
      <w:r>
        <w:rPr>
          <w:rFonts w:ascii="Courier New" w:hAnsi="Courier New"/>
          <w:sz w:val="18"/>
        </w:rPr>
        <w:t>catalog-map-tiles</w:t>
      </w:r>
      <w:r>
        <w:t>. Прежние технические имена WayCatalog сохраняются до миграции бренда.</w:t>
      </w:r>
    </w:p>
    <w:p>
      <w:pPr>
        <w:pStyle w:val="Heading1"/>
      </w:pPr>
      <w:r>
        <w:t>4. Сроки и выбор</w:t>
      </w:r>
    </w:p>
    <w:p>
      <w:r>
        <w:t>Сессия клиента рассчитана не более чем на 30 дней; конкретные TTL остальных ключей должны быть реализованы согласно Политике обработки. Баннер сохраняет версию выбора и время. Отказ от аналитики не блокирует базовый сервис. Выбор можно изменить через «Настройки cookies» или очистку данных сайта в браузере.</w:t>
      </w:r>
    </w:p>
    <w:p>
      <w:pPr>
        <w:pStyle w:val="Heading1"/>
      </w:pPr>
      <w:r>
        <w:t>5. Третьи стороны</w:t>
      </w:r>
    </w:p>
    <w:p>
      <w:r>
        <w:t>Карта, push, хостинг и внешние изображения могут получать IP, user-agent и параметры запроса. До запуска внешний список должен быть приведён в соответствие фактической российской архитектуре. Подключение аналитики требует обновления таблицы провайдеров, целей, сроков и стран до отправки первого события.</w:t>
      </w:r>
    </w:p>
    <w:p>
      <w:pPr>
        <w:pStyle w:val="Heading1"/>
      </w:pPr>
      <w:r>
        <w:t>6. Контакты</w:t>
      </w:r>
    </w:p>
    <w:p>
      <w:r>
        <w:t xml:space="preserve">Запрос об устройстве или очистке данных: </w:t>
      </w:r>
      <w:r>
        <w:rPr>
          <w:rFonts w:ascii="Courier New" w:hAnsi="Courier New"/>
          <w:sz w:val="18"/>
        </w:rPr>
        <w:t>privacy@wayyaam.ru</w:t>
      </w:r>
      <w:r>
        <w:t>. Инструкции браузера дополняют, но не заменяют серверное удаление аккаунта.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cookies и локального хранения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