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Согласие клиента на обработку персональных данных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3.0 от 18 августа 2026 года</w:t>
      </w:r>
    </w:p>
    <w:p>
      <w:r>
        <w:rPr>
          <w:b/>
        </w:rPr>
        <w:t>Статус:</w:t>
      </w:r>
      <w:r>
        <w:t xml:space="preserve"> Публичный документ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1. Субъект и оператор</w:t>
      </w:r>
    </w:p>
    <w:p>
      <w:r>
        <w:t>Я, клиент WayYaam, идентифицируемый данными формы, свободно, своей волей и в своём интересе даю оператору Абдулкадыров Дук-Ваха Магомедович согласие на обработку перечисленных ниже данных. Согласие оформляется отдельно от пользовательского соглашения или оферты.</w:t>
      </w:r>
    </w:p>
    <w:p>
      <w:pPr>
        <w:pStyle w:val="Heading1"/>
      </w:pPr>
      <w:r>
        <w:t>2. Данные и цели</w:t>
      </w:r>
    </w:p>
    <w:p>
      <w:r>
        <w:rPr>
          <w:b/>
        </w:rPr>
        <w:t>Данные:</w:t>
      </w:r>
      <w:r>
        <w:t xml:space="preserve"> имя, телефон, адрес и детали доставки, координаты и точность, комментарии, история заказов, избранное, обращения, сведения аккаунта/сессии, IP, user-agent и технические идентификаторы.</w:t>
      </w:r>
    </w:p>
    <w:p>
      <w:r>
        <w:rPr>
          <w:b/>
        </w:rPr>
        <w:t>Цели:</w:t>
      </w:r>
      <w:r>
        <w:t xml:space="preserve"> регистрация и защита аккаунта; создание, исполнение и поддержка заказов; сохранение выбранных адресов; предотвращение злоупотреблений; рассмотрение обращений.</w:t>
      </w:r>
    </w:p>
    <w:p>
      <w:pPr>
        <w:pStyle w:val="Heading1"/>
      </w:pPr>
      <w:r>
        <w:t>3. Действия и способ</w:t>
      </w:r>
    </w:p>
    <w:p>
      <w:r>
        <w:t>Сбор, запись, систематизация, накопление, хранение, уточнение, извлечение, использование, предоставление уполномоченным получателям, доступ, блокирование, удаление и уничтожение; автоматизированная, неавтоматизированная и смешанная обработка с передачей по сети.</w:t>
      </w:r>
    </w:p>
    <w:p>
      <w:pPr>
        <w:pStyle w:val="Heading1"/>
      </w:pPr>
      <w:r>
        <w:t>4. Срок и отзыв</w:t>
      </w:r>
    </w:p>
    <w:p>
      <w:r>
        <w:t xml:space="preserve">Согласие действует до достижения целей, прекращения отношений или отзыва, если иное хранение не обязательно по закону. Отзыв направляется на </w:t>
      </w:r>
      <w:r>
        <w:rPr>
          <w:rFonts w:ascii="Courier New" w:hAnsi="Courier New"/>
          <w:sz w:val="18"/>
        </w:rPr>
        <w:t>privacy@wayyaam.ru</w:t>
      </w:r>
      <w:r>
        <w:t>. Отзыв не влияет на законность предыдущей обработки; оператор вправе продолжить только при наличии самостоятельного основания. При отсутствии основания данные уничтожаются в сроки закона и Регламента удаления.</w:t>
      </w:r>
    </w:p>
    <w:p>
      <w:pPr>
        <w:pStyle w:val="Heading1"/>
      </w:pPr>
      <w:r>
        <w:t>5. Подтверждение</w:t>
      </w:r>
    </w:p>
    <w:p>
      <w:r>
        <w:t xml:space="preserve">Интерфейс должен сохранить: идентификатор субъекта, код документа, версию </w:t>
      </w:r>
      <w:r>
        <w:rPr>
          <w:rFonts w:ascii="Courier New" w:hAnsi="Courier New"/>
          <w:sz w:val="18"/>
        </w:rPr>
        <w:t>3.0</w:t>
      </w:r>
      <w:r>
        <w:t>, текст/хеш версии, время, источник, IP/user-agent в минимальном объёме и состояние checkbox. Предустановленный checkbox не допускается. Субъект подтверждает достоверность данных и полномочия на данные третьих лиц.</w:t>
      </w:r>
    </w:p>
    <w:p>
      <w:r>
        <w:t>Согласие не охватывает рекламные сообщения и не заменяет отдельное подтверждение передачи данных ресторану и водителю. Геолокация необязательна: адрес можно ввести вручную.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3.0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клиента на обработку персональных данных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