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Политика обработки персональных данных</w:t>
      </w:r>
    </w:p>
    <w:p>
      <w:r>
        <w:rPr>
          <w:b/>
        </w:rPr>
        <w:t>Сервис:</w:t>
      </w:r>
      <w:r>
        <w:t xml:space="preserve"> WayYaam, wayyaam.ru</w:t>
      </w:r>
    </w:p>
    <w:p>
      <w:r>
        <w:rPr>
          <w:b/>
        </w:rPr>
        <w:t>Редакция:</w:t>
      </w:r>
      <w:r>
        <w:t xml:space="preserve"> 3.0 от 18 августа 2026 года</w:t>
      </w:r>
    </w:p>
    <w:p>
      <w:r>
        <w:rPr>
          <w:b/>
        </w:rPr>
        <w:t>Статус:</w:t>
      </w:r>
      <w:r>
        <w:t xml:space="preserve"> Публичный документ</w:t>
      </w:r>
    </w:p>
    <w:p>
      <w:r>
        <w:rPr>
          <w:b/>
        </w:rPr>
        <w:t>Оператор:</w:t>
      </w:r>
      <w:r>
        <w:t xml:space="preserve"> Абдулкадыров Дук-Ваха Магомедович, плательщик НПД, ИНН 200600136496, дата постановки на учёт 05.08.2026</w:t>
      </w:r>
    </w:p>
    <w:p>
      <w:r>
        <w:rPr>
          <w:b/>
        </w:rPr>
        <w:t>Адрес:</w:t>
      </w:r>
      <w:r>
        <w:t xml:space="preserve"> Чеченская Республика, Курчалоевский район, село Цоци-Юрт, улица Т. Л. Алиева, дом 69</w:t>
      </w:r>
    </w:p>
    <w:p>
      <w:r>
        <w:rPr>
          <w:b/>
        </w:rPr>
        <w:t>Контакты:</w:t>
      </w:r>
      <w:r>
        <w:t xml:space="preserve"> support@wayyaam.ru; вопросы персональных данных: privacy@wayyaam.ru; +7 928 886-54-70</w:t>
      </w:r>
    </w:p>
    <w:p>
      <w:pPr>
        <w:pStyle w:val="Heading1"/>
      </w:pPr>
      <w:r>
        <w:t>1. Назначение и сфера действия</w:t>
      </w:r>
    </w:p>
    <w:p>
      <w:r>
        <w:t>Политика определяет порядок обработки и защиты персональных данных при работе сайта, PWA, личных кабинетов, заказов, доставки и поддержки WayYaam. Она применяется к клиентам, посетителям, представителям заведений, ресторанам, кафе и кофейням, водителям, администраторам и обратившимся лицам. При расширении на продукты или иные категории бизнеса цели и получатели уточняются до начала новой обработки.</w:t>
      </w:r>
    </w:p>
    <w:p>
      <w:r>
        <w:t>Оператор самостоятельно определяет платформенные цели. Ресторан обрабатывает полученные данные для принятия и приготовления заказа; водитель - только для порученной доставки. Их самостоятельная ответственность и обработка по поручению разграничиваются договорами.</w:t>
      </w:r>
    </w:p>
    <w:p>
      <w:pPr>
        <w:pStyle w:val="Heading1"/>
      </w:pPr>
      <w:r>
        <w:t>2. Принципы</w:t>
      </w:r>
    </w:p>
    <w:p>
      <w:pPr>
        <w:pStyle w:val="ListBullet"/>
      </w:pPr>
      <w:r>
        <w:t>законная, справедливая и ограниченная заявленными целями обработка;</w:t>
      </w:r>
    </w:p>
    <w:p>
      <w:pPr>
        <w:pStyle w:val="ListBullet"/>
      </w:pPr>
      <w:r>
        <w:t>недопустимость объединения несовместимых баз и избыточного сбора;</w:t>
      </w:r>
    </w:p>
    <w:p>
      <w:pPr>
        <w:pStyle w:val="ListBullet"/>
      </w:pPr>
      <w:r>
        <w:t>точность, достаточность, ограничение срока и уничтожение после достижения цели;</w:t>
      </w:r>
    </w:p>
    <w:p>
      <w:pPr>
        <w:pStyle w:val="ListBullet"/>
      </w:pPr>
      <w:r>
        <w:t>конфиденциальность, разграничение доступа и доказуемость согласий;</w:t>
      </w:r>
    </w:p>
    <w:p>
      <w:pPr>
        <w:pStyle w:val="ListBullet"/>
      </w:pPr>
      <w:r>
        <w:t>первичная локализация интернет-сбора данных граждан РФ в базах на территории России.</w:t>
      </w:r>
    </w:p>
    <w:p>
      <w:pPr>
        <w:pStyle w:val="Heading1"/>
      </w:pPr>
      <w:r>
        <w:t>3. Цели, данные, субъекты и основания</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3249"/>
            <w:vAlign w:val="center"/>
            <w:tcMar>
              <w:top w:w="90" w:type="dxa"/>
              <w:start w:w="90" w:type="dxa"/>
              <w:bottom w:w="90" w:type="dxa"/>
              <w:end w:w="90" w:type="dxa"/>
            </w:tcMar>
          </w:tcPr>
          <w:p>
            <w:r>
              <w:rPr>
                <w:b/>
              </w:rPr>
              <w:t>Цель</w:t>
            </w:r>
          </w:p>
        </w:tc>
        <w:tc>
          <w:tcPr>
            <w:tcW w:type="dxa" w:w="3249"/>
            <w:vAlign w:val="center"/>
            <w:tcMar>
              <w:top w:w="90" w:type="dxa"/>
              <w:start w:w="90" w:type="dxa"/>
              <w:bottom w:w="90" w:type="dxa"/>
              <w:end w:w="90" w:type="dxa"/>
            </w:tcMar>
          </w:tcPr>
          <w:p>
            <w:r>
              <w:rPr>
                <w:b/>
              </w:rPr>
              <w:t>Субъекты и данные</w:t>
            </w:r>
          </w:p>
        </w:tc>
        <w:tc>
          <w:tcPr>
            <w:tcW w:type="dxa" w:w="3249"/>
            <w:vAlign w:val="center"/>
            <w:tcMar>
              <w:top w:w="90" w:type="dxa"/>
              <w:start w:w="90" w:type="dxa"/>
              <w:bottom w:w="90" w:type="dxa"/>
              <w:end w:w="90" w:type="dxa"/>
            </w:tcMar>
          </w:tcPr>
          <w:p>
            <w:r>
              <w:rPr>
                <w:b/>
              </w:rPr>
              <w:t>Основание</w:t>
            </w:r>
          </w:p>
        </w:tc>
      </w:tr>
      <w:tr>
        <w:trPr>
          <w:cantSplit/>
        </w:trPr>
        <w:tc>
          <w:tcPr>
            <w:tcW w:type="dxa" w:w="3249"/>
            <w:tcMar>
              <w:top w:w="90" w:type="dxa"/>
              <w:start w:w="90" w:type="dxa"/>
              <w:bottom w:w="90" w:type="dxa"/>
              <w:end w:w="90" w:type="dxa"/>
            </w:tcMar>
          </w:tcPr>
          <w:p>
            <w:r>
              <w:t>Регистрация и аккаунт</w:t>
            </w:r>
          </w:p>
        </w:tc>
        <w:tc>
          <w:tcPr>
            <w:tcW w:type="dxa" w:w="3249"/>
            <w:tcMar>
              <w:top w:w="90" w:type="dxa"/>
              <w:start w:w="90" w:type="dxa"/>
              <w:bottom w:w="90" w:type="dxa"/>
              <w:end w:w="90" w:type="dxa"/>
            </w:tcMar>
          </w:tcPr>
          <w:p>
            <w:r>
              <w:t>клиент: имя, телефон, парольный хеш, сессии; сотрудники: ФИО, email, телефон, роль</w:t>
            </w:r>
          </w:p>
        </w:tc>
        <w:tc>
          <w:tcPr>
            <w:tcW w:type="dxa" w:w="3249"/>
            <w:tcMar>
              <w:top w:w="90" w:type="dxa"/>
              <w:start w:w="90" w:type="dxa"/>
              <w:bottom w:w="90" w:type="dxa"/>
              <w:end w:w="90" w:type="dxa"/>
            </w:tcMar>
          </w:tcPr>
          <w:p>
            <w:r>
              <w:t>договор/пользовательское соглашение; отдельное согласие там, где оно требуется</w:t>
            </w:r>
          </w:p>
        </w:tc>
      </w:tr>
      <w:tr>
        <w:trPr>
          <w:cantSplit/>
        </w:trPr>
        <w:tc>
          <w:tcPr>
            <w:tcW w:type="dxa" w:w="3249"/>
            <w:tcMar>
              <w:top w:w="90" w:type="dxa"/>
              <w:start w:w="90" w:type="dxa"/>
              <w:bottom w:w="90" w:type="dxa"/>
              <w:end w:w="90" w:type="dxa"/>
            </w:tcMar>
          </w:tcPr>
          <w:p>
            <w:r>
              <w:t>Оформление и исполнение заказа</w:t>
            </w:r>
          </w:p>
        </w:tc>
        <w:tc>
          <w:tcPr>
            <w:tcW w:type="dxa" w:w="3249"/>
            <w:tcMar>
              <w:top w:w="90" w:type="dxa"/>
              <w:start w:w="90" w:type="dxa"/>
              <w:bottom w:w="90" w:type="dxa"/>
              <w:end w:w="90" w:type="dxa"/>
            </w:tcMar>
          </w:tcPr>
          <w:p>
            <w:r>
              <w:t>имя, телефон, адрес, детали доступа, координаты и точность, комментарий, состав, сумма, способ оплаты, статусы</w:t>
            </w:r>
          </w:p>
        </w:tc>
        <w:tc>
          <w:tcPr>
            <w:tcW w:type="dxa" w:w="3249"/>
            <w:tcMar>
              <w:top w:w="90" w:type="dxa"/>
              <w:start w:w="90" w:type="dxa"/>
              <w:bottom w:w="90" w:type="dxa"/>
              <w:end w:w="90" w:type="dxa"/>
            </w:tcMar>
          </w:tcPr>
          <w:p>
            <w:r>
              <w:t>договор с клиентом; передача ресторану/водителю - отдельное подтверждение и/или необходимость исполнения договора</w:t>
            </w:r>
          </w:p>
        </w:tc>
      </w:tr>
      <w:tr>
        <w:trPr>
          <w:cantSplit/>
        </w:trPr>
        <w:tc>
          <w:tcPr>
            <w:tcW w:type="dxa" w:w="3249"/>
            <w:tcMar>
              <w:top w:w="90" w:type="dxa"/>
              <w:start w:w="90" w:type="dxa"/>
              <w:bottom w:w="90" w:type="dxa"/>
              <w:end w:w="90" w:type="dxa"/>
            </w:tcMar>
          </w:tcPr>
          <w:p>
            <w:r>
              <w:t>Доставка</w:t>
            </w:r>
          </w:p>
        </w:tc>
        <w:tc>
          <w:tcPr>
            <w:tcW w:type="dxa" w:w="3249"/>
            <w:tcMar>
              <w:top w:w="90" w:type="dxa"/>
              <w:start w:w="90" w:type="dxa"/>
              <w:bottom w:w="90" w:type="dxa"/>
              <w:end w:w="90" w:type="dxa"/>
            </w:tcMar>
          </w:tcPr>
          <w:p>
            <w:r>
              <w:t>клиентские контакты и адрес; водитель: ФИО, телефон, авто, госномер, геолокация, статусы</w:t>
            </w:r>
          </w:p>
        </w:tc>
        <w:tc>
          <w:tcPr>
            <w:tcW w:type="dxa" w:w="3249"/>
            <w:tcMar>
              <w:top w:w="90" w:type="dxa"/>
              <w:start w:w="90" w:type="dxa"/>
              <w:bottom w:w="90" w:type="dxa"/>
              <w:end w:w="90" w:type="dxa"/>
            </w:tcMar>
          </w:tcPr>
          <w:p>
            <w:r>
              <w:t>договор/оферта водителя, согласие на геолокацию, законный интерес безопасности без ущемления прав</w:t>
            </w:r>
          </w:p>
        </w:tc>
      </w:tr>
      <w:tr>
        <w:trPr>
          <w:cantSplit/>
        </w:trPr>
        <w:tc>
          <w:tcPr>
            <w:tcW w:type="dxa" w:w="3249"/>
            <w:tcMar>
              <w:top w:w="90" w:type="dxa"/>
              <w:start w:w="90" w:type="dxa"/>
              <w:bottom w:w="90" w:type="dxa"/>
              <w:end w:w="90" w:type="dxa"/>
            </w:tcMar>
          </w:tcPr>
          <w:p>
            <w:r>
              <w:t>Работа с заведением</w:t>
            </w:r>
          </w:p>
        </w:tc>
        <w:tc>
          <w:tcPr>
            <w:tcW w:type="dxa" w:w="3249"/>
            <w:tcMar>
              <w:top w:w="90" w:type="dxa"/>
              <w:start w:w="90" w:type="dxa"/>
              <w:bottom w:w="90" w:type="dxa"/>
              <w:end w:w="90" w:type="dxa"/>
            </w:tcMar>
          </w:tcPr>
          <w:p>
            <w:r>
              <w:t>организация, адрес, телефон, представитель, email, банковские реквизиты, меню, фото, режим, заказы, выплаты</w:t>
            </w:r>
          </w:p>
        </w:tc>
        <w:tc>
          <w:tcPr>
            <w:tcW w:type="dxa" w:w="3249"/>
            <w:tcMar>
              <w:top w:w="90" w:type="dxa"/>
              <w:start w:w="90" w:type="dxa"/>
              <w:bottom w:w="90" w:type="dxa"/>
              <w:end w:w="90" w:type="dxa"/>
            </w:tcMar>
          </w:tcPr>
          <w:p>
            <w:r>
              <w:t>оферта ресторана; закон и бухгалтерский учёт</w:t>
            </w:r>
          </w:p>
        </w:tc>
      </w:tr>
      <w:tr>
        <w:trPr>
          <w:cantSplit/>
        </w:trPr>
        <w:tc>
          <w:tcPr>
            <w:tcW w:type="dxa" w:w="3249"/>
            <w:tcMar>
              <w:top w:w="90" w:type="dxa"/>
              <w:start w:w="90" w:type="dxa"/>
              <w:bottom w:w="90" w:type="dxa"/>
              <w:end w:w="90" w:type="dxa"/>
            </w:tcMar>
          </w:tcPr>
          <w:p>
            <w:r>
              <w:t>Поддержка и обращения</w:t>
            </w:r>
          </w:p>
        </w:tc>
        <w:tc>
          <w:tcPr>
            <w:tcW w:type="dxa" w:w="3249"/>
            <w:tcMar>
              <w:top w:w="90" w:type="dxa"/>
              <w:start w:w="90" w:type="dxa"/>
              <w:bottom w:w="90" w:type="dxa"/>
              <w:end w:w="90" w:type="dxa"/>
            </w:tcMar>
          </w:tcPr>
          <w:p>
            <w:r>
              <w:t>контакт, содержание, идентификаторы заказов, доказательства ответа</w:t>
            </w:r>
          </w:p>
        </w:tc>
        <w:tc>
          <w:tcPr>
            <w:tcW w:type="dxa" w:w="3249"/>
            <w:tcMar>
              <w:top w:w="90" w:type="dxa"/>
              <w:start w:w="90" w:type="dxa"/>
              <w:bottom w:w="90" w:type="dxa"/>
              <w:end w:w="90" w:type="dxa"/>
            </w:tcMar>
          </w:tcPr>
          <w:p>
            <w:r>
              <w:t>исполнение договора, согласие/обращение, законные обязанности</w:t>
            </w:r>
          </w:p>
        </w:tc>
      </w:tr>
      <w:tr>
        <w:trPr>
          <w:cantSplit/>
        </w:trPr>
        <w:tc>
          <w:tcPr>
            <w:tcW w:type="dxa" w:w="3249"/>
            <w:tcMar>
              <w:top w:w="90" w:type="dxa"/>
              <w:start w:w="90" w:type="dxa"/>
              <w:bottom w:w="90" w:type="dxa"/>
              <w:end w:w="90" w:type="dxa"/>
            </w:tcMar>
          </w:tcPr>
          <w:p>
            <w:r>
              <w:t>Безопасность и аудит</w:t>
            </w:r>
          </w:p>
        </w:tc>
        <w:tc>
          <w:tcPr>
            <w:tcW w:type="dxa" w:w="3249"/>
            <w:tcMar>
              <w:top w:w="90" w:type="dxa"/>
              <w:start w:w="90" w:type="dxa"/>
              <w:bottom w:w="90" w:type="dxa"/>
              <w:end w:w="90" w:type="dxa"/>
            </w:tcMar>
          </w:tcPr>
          <w:p>
            <w:r>
              <w:t>IP, user-agent, события входа и действий, технические логи</w:t>
            </w:r>
          </w:p>
        </w:tc>
        <w:tc>
          <w:tcPr>
            <w:tcW w:type="dxa" w:w="3249"/>
            <w:tcMar>
              <w:top w:w="90" w:type="dxa"/>
              <w:start w:w="90" w:type="dxa"/>
              <w:bottom w:w="90" w:type="dxa"/>
              <w:end w:w="90" w:type="dxa"/>
            </w:tcMar>
          </w:tcPr>
          <w:p>
            <w:r>
              <w:t>законные обязанности и интерес в защите сервиса с оценкой баланса</w:t>
            </w:r>
          </w:p>
        </w:tc>
      </w:tr>
      <w:tr>
        <w:trPr>
          <w:cantSplit/>
        </w:trPr>
        <w:tc>
          <w:tcPr>
            <w:tcW w:type="dxa" w:w="3249"/>
            <w:tcMar>
              <w:top w:w="90" w:type="dxa"/>
              <w:start w:w="90" w:type="dxa"/>
              <w:bottom w:w="90" w:type="dxa"/>
              <w:end w:w="90" w:type="dxa"/>
            </w:tcMar>
          </w:tcPr>
          <w:p>
            <w:r>
              <w:t>Сервисные push/email</w:t>
            </w:r>
          </w:p>
        </w:tc>
        <w:tc>
          <w:tcPr>
            <w:tcW w:type="dxa" w:w="3249"/>
            <w:tcMar>
              <w:top w:w="90" w:type="dxa"/>
              <w:start w:w="90" w:type="dxa"/>
              <w:bottom w:w="90" w:type="dxa"/>
              <w:end w:w="90" w:type="dxa"/>
            </w:tcMar>
          </w:tcPr>
          <w:p>
            <w:r>
              <w:t>endpoint/ключи, роль, сведения события</w:t>
            </w:r>
          </w:p>
        </w:tc>
        <w:tc>
          <w:tcPr>
            <w:tcW w:type="dxa" w:w="3249"/>
            <w:tcMar>
              <w:top w:w="90" w:type="dxa"/>
              <w:start w:w="90" w:type="dxa"/>
              <w:bottom w:w="90" w:type="dxa"/>
              <w:end w:w="90" w:type="dxa"/>
            </w:tcMar>
          </w:tcPr>
          <w:p>
            <w:r>
              <w:t>запрос пользователя и работа договора; разрешение браузера не заменяет рекламное согласие</w:t>
            </w:r>
          </w:p>
        </w:tc>
      </w:tr>
      <w:tr>
        <w:trPr>
          <w:cantSplit/>
        </w:trPr>
        <w:tc>
          <w:tcPr>
            <w:tcW w:type="dxa" w:w="3249"/>
            <w:tcMar>
              <w:top w:w="90" w:type="dxa"/>
              <w:start w:w="90" w:type="dxa"/>
              <w:bottom w:w="90" w:type="dxa"/>
              <w:end w:w="90" w:type="dxa"/>
            </w:tcMar>
          </w:tcPr>
          <w:p>
            <w:r>
              <w:t>Реклама и акции</w:t>
            </w:r>
          </w:p>
        </w:tc>
        <w:tc>
          <w:tcPr>
            <w:tcW w:type="dxa" w:w="3249"/>
            <w:tcMar>
              <w:top w:w="90" w:type="dxa"/>
              <w:start w:w="90" w:type="dxa"/>
              <w:bottom w:w="90" w:type="dxa"/>
              <w:end w:w="90" w:type="dxa"/>
            </w:tcMar>
          </w:tcPr>
          <w:p>
            <w:r>
              <w:t>контакты, push endpoint, предпочтения и факт согласия</w:t>
            </w:r>
          </w:p>
        </w:tc>
        <w:tc>
          <w:tcPr>
            <w:tcW w:type="dxa" w:w="3249"/>
            <w:tcMar>
              <w:top w:w="90" w:type="dxa"/>
              <w:start w:w="90" w:type="dxa"/>
              <w:bottom w:w="90" w:type="dxa"/>
              <w:end w:w="90" w:type="dxa"/>
            </w:tcMar>
          </w:tcPr>
          <w:p>
            <w:r>
              <w:t>только отдельное предварительное согласие</w:t>
            </w:r>
          </w:p>
        </w:tc>
      </w:tr>
      <w:tr>
        <w:trPr>
          <w:cantSplit/>
        </w:trPr>
        <w:tc>
          <w:tcPr>
            <w:tcW w:type="dxa" w:w="3249"/>
            <w:tcMar>
              <w:top w:w="90" w:type="dxa"/>
              <w:start w:w="90" w:type="dxa"/>
              <w:bottom w:w="90" w:type="dxa"/>
              <w:end w:w="90" w:type="dxa"/>
            </w:tcMar>
          </w:tcPr>
          <w:p>
            <w:r>
              <w:t>Закон, споры и учёт</w:t>
            </w:r>
          </w:p>
        </w:tc>
        <w:tc>
          <w:tcPr>
            <w:tcW w:type="dxa" w:w="3249"/>
            <w:tcMar>
              <w:top w:w="90" w:type="dxa"/>
              <w:start w:w="90" w:type="dxa"/>
              <w:bottom w:w="90" w:type="dxa"/>
              <w:end w:w="90" w:type="dxa"/>
            </w:tcMar>
          </w:tcPr>
          <w:p>
            <w:r>
              <w:t>заказ, расчёты, договорные события</w:t>
            </w:r>
          </w:p>
        </w:tc>
        <w:tc>
          <w:tcPr>
            <w:tcW w:type="dxa" w:w="3249"/>
            <w:tcMar>
              <w:top w:w="90" w:type="dxa"/>
              <w:start w:w="90" w:type="dxa"/>
              <w:bottom w:w="90" w:type="dxa"/>
              <w:end w:w="90" w:type="dxa"/>
            </w:tcMar>
          </w:tcPr>
          <w:p>
            <w:r>
              <w:t>требования закона, защита прав и законные интересы</w:t>
            </w:r>
          </w:p>
        </w:tc>
      </w:tr>
    </w:tbl>
    <w:p>
      <w:r>
        <w:t>Оператор не запрашивает специальные категории или биометрию. Не следует указывать здоровье, национальность, религию и иные чувствительные сведения в комментариях. Фото не используются для автоматической биометрической идентификации.</w:t>
      </w:r>
    </w:p>
    <w:p>
      <w:pPr>
        <w:pStyle w:val="Heading1"/>
      </w:pPr>
      <w:r>
        <w:t>4. Действия и способы</w:t>
      </w:r>
    </w:p>
    <w:p>
      <w:r>
        <w:t>Сбор, запись, систематизация, накопление, хранение, уточнение, извлечение, использование, передача, предоставление, доступ, блокирование, удаление и уничтожение выполняются автоматизированно с передачей по сетям либо смешанным способом при ручной обработке обращений. Распространение неопределённому кругу лиц не является целью; отдельное согласие на распространение не запрашивается.</w:t>
      </w:r>
    </w:p>
    <w:p>
      <w:pPr>
        <w:pStyle w:val="Heading1"/>
      </w:pPr>
      <w:r>
        <w:t>5. Получатели и инфраструктура</w:t>
      </w:r>
    </w:p>
    <w:p>
      <w:r>
        <w:t>Данные заказа предоставляются только выбранному бизнесу, назначенному водителю и уполномоченной поддержке в минимальном объёме и на нужный срок. Клиент видит собственный заказ, контакты бизнеса и данные назначенного водителя; бизнес — только свои заказы; водитель — только фактически назначенную ему активную доставку. Идентификатор заказа сам по себе не даёт доступа. Для гостевого заказа используется отдельный секретный токен, в базе хранится только его хеш.</w:t>
      </w:r>
    </w:p>
    <w:p>
      <w:r>
        <w:t>Основная БД, Auth, файловое хранилище и приложение Supabase размещены на VPS ООО «Бегет» в Российской Федерации: дата-центр DataLine, г. Санкт-Петербург, территория ЦОД, ул. Жукова, д. 43, стр. 2. Услуги ЦОД ООО «Бегет» предоставляет АО «СЕВЕРЕН-ТЕЛЕКОМ». Резервные копии VPS находятся в том же российском ЦОД. ООО «Бегет» предоставляет VPS/хостинг и root-доступ, но не принимает на себя функции оператора персональных данных WayYaam.</w:t>
      </w:r>
    </w:p>
    <w:p>
      <w:r>
        <w:t>В интерфейсе могут использоваться внешние картографические, push- и коммуникационные сервисы. Передача им данных ограничивается функцией, выбранной пользователем; состав, получатель и основание каждого потока учитываются оператором отдельно. Первичная запись данных аккаунтов и заказов выполняется в указанной российской инфраструктуре.</w:t>
      </w:r>
    </w:p>
    <w:p>
      <w:r>
        <w:t>Firebase, Sentry, внешняя аналитика, SMS и платёжные системы сейчас не объявляются действующими получателями. Перед их подключением оператор оценивает локализацию, договор, страны, безопасность, обновляет эту Политику и уведомления и получает согласие, если оно нужно.</w:t>
      </w:r>
    </w:p>
    <w:p>
      <w:pPr>
        <w:pStyle w:val="Heading1"/>
      </w:pPr>
      <w:r>
        <w:t>6. Геолокация</w:t>
      </w:r>
    </w:p>
    <w:p>
      <w:r>
        <w:t>Клиент передаёт точку только явным действием либо выбирает адрес вручную. Водитель передаёт геолокацию только при включённом статусе online и/или активной доставке; приложение показывает индикатор и прекращает сбор после выхода offline. Точная текущая точка назначенного водителя доступна только клиенту, бизнесу, самому назначенному водителю и уполномоченной поддержке в период активной доставки. После завершения или отмены live-доступ прекращается для всех рабочих интерфейсов; водитель больше не получает контакты и координаты клиента.</w:t>
      </w:r>
    </w:p>
    <w:p>
      <w:pPr>
        <w:pStyle w:val="Heading1"/>
      </w:pPr>
      <w:r>
        <w:t>7. Cookies и устройства</w:t>
      </w:r>
    </w:p>
    <w:p>
      <w:r>
        <w:t>Технические средства хранения нужны для сессии, корзины, безопасности, PWA и выбора настроек. Аналитические cookies включаются только после выбора пользователя. Подробности и управление - в Политике cookies. Выход из аккаунта и удаление данных должны очищать связанные localStorage, IndexedDB, Cache Storage и push-подписки на доступном устройстве.</w:t>
      </w:r>
    </w:p>
    <w:p>
      <w:pPr>
        <w:pStyle w:val="Heading1"/>
      </w:pPr>
      <w:r>
        <w:t>8. Сроки</w:t>
      </w:r>
    </w:p>
    <w:tbl>
      <w:tblPr>
        <w:tblStyle w:val="TableGrid"/>
        <w:tblW w:type="auto" w:w="0"/>
        <w:jc w:val="center"/>
        <w:tblLook w:firstColumn="1" w:firstRow="1" w:lastColumn="0" w:lastRow="0" w:noHBand="0" w:noVBand="1" w:val="04A0"/>
      </w:tblPr>
      <w:tblGrid>
        <w:gridCol w:w="4873"/>
        <w:gridCol w:w="4873"/>
      </w:tblGrid>
      <w:tr>
        <w:trPr>
          <w:cantSplit/>
        </w:trPr>
        <w:tc>
          <w:tcPr>
            <w:tcW w:type="dxa" w:w="4873"/>
            <w:vAlign w:val="center"/>
            <w:tcMar>
              <w:top w:w="90" w:type="dxa"/>
              <w:start w:w="90" w:type="dxa"/>
              <w:bottom w:w="90" w:type="dxa"/>
              <w:end w:w="90" w:type="dxa"/>
            </w:tcMar>
          </w:tcPr>
          <w:p>
            <w:r>
              <w:rPr>
                <w:b/>
              </w:rPr>
              <w:t>Набор</w:t>
            </w:r>
          </w:p>
        </w:tc>
        <w:tc>
          <w:tcPr>
            <w:tcW w:type="dxa" w:w="4873"/>
            <w:vAlign w:val="center"/>
            <w:tcMar>
              <w:top w:w="90" w:type="dxa"/>
              <w:start w:w="90" w:type="dxa"/>
              <w:bottom w:w="90" w:type="dxa"/>
              <w:end w:w="90" w:type="dxa"/>
            </w:tcMar>
          </w:tcPr>
          <w:p>
            <w:r>
              <w:rPr>
                <w:b/>
              </w:rPr>
              <w:t>Рабочий срок</w:t>
            </w:r>
          </w:p>
        </w:tc>
      </w:tr>
      <w:tr>
        <w:trPr>
          <w:cantSplit/>
        </w:trPr>
        <w:tc>
          <w:tcPr>
            <w:tcW w:type="dxa" w:w="4873"/>
            <w:tcMar>
              <w:top w:w="90" w:type="dxa"/>
              <w:start w:w="90" w:type="dxa"/>
              <w:bottom w:w="90" w:type="dxa"/>
              <w:end w:w="90" w:type="dxa"/>
            </w:tcMar>
          </w:tcPr>
          <w:p>
            <w:r>
              <w:t>Аккаунт</w:t>
            </w:r>
          </w:p>
        </w:tc>
        <w:tc>
          <w:tcPr>
            <w:tcW w:type="dxa" w:w="4873"/>
            <w:tcMar>
              <w:top w:w="90" w:type="dxa"/>
              <w:start w:w="90" w:type="dxa"/>
              <w:bottom w:w="90" w:type="dxa"/>
              <w:end w:w="90" w:type="dxa"/>
            </w:tcMar>
          </w:tcPr>
          <w:p>
            <w:r>
              <w:t>пока действует аккаунт; затем до 30 дней на рабочее удаление, кроме законного хранения</w:t>
            </w:r>
          </w:p>
        </w:tc>
      </w:tr>
      <w:tr>
        <w:trPr>
          <w:cantSplit/>
        </w:trPr>
        <w:tc>
          <w:tcPr>
            <w:tcW w:type="dxa" w:w="4873"/>
            <w:tcMar>
              <w:top w:w="90" w:type="dxa"/>
              <w:start w:w="90" w:type="dxa"/>
              <w:bottom w:w="90" w:type="dxa"/>
              <w:end w:w="90" w:type="dxa"/>
            </w:tcMar>
          </w:tcPr>
          <w:p>
            <w:r>
              <w:t>Сессии</w:t>
            </w:r>
          </w:p>
        </w:tc>
        <w:tc>
          <w:tcPr>
            <w:tcW w:type="dxa" w:w="4873"/>
            <w:tcMar>
              <w:top w:w="90" w:type="dxa"/>
              <w:start w:w="90" w:type="dxa"/>
              <w:bottom w:w="90" w:type="dxa"/>
              <w:end w:w="90" w:type="dxa"/>
            </w:tcMar>
          </w:tcPr>
          <w:p>
            <w:r>
              <w:t>не более 30 дней без активности; немедленно после отзыва/компрометации</w:t>
            </w:r>
          </w:p>
        </w:tc>
      </w:tr>
      <w:tr>
        <w:trPr>
          <w:cantSplit/>
        </w:trPr>
        <w:tc>
          <w:tcPr>
            <w:tcW w:type="dxa" w:w="4873"/>
            <w:tcMar>
              <w:top w:w="90" w:type="dxa"/>
              <w:start w:w="90" w:type="dxa"/>
              <w:bottom w:w="90" w:type="dxa"/>
              <w:end w:w="90" w:type="dxa"/>
            </w:tcMar>
          </w:tcPr>
          <w:p>
            <w:r>
              <w:t>Черновики/корзина</w:t>
            </w:r>
          </w:p>
        </w:tc>
        <w:tc>
          <w:tcPr>
            <w:tcW w:type="dxa" w:w="4873"/>
            <w:tcMar>
              <w:top w:w="90" w:type="dxa"/>
              <w:start w:w="90" w:type="dxa"/>
              <w:bottom w:w="90" w:type="dxa"/>
              <w:end w:w="90" w:type="dxa"/>
            </w:tcMar>
          </w:tcPr>
          <w:p>
            <w:r>
              <w:t>30 дней без активности или очистка пользователем</w:t>
            </w:r>
          </w:p>
        </w:tc>
      </w:tr>
      <w:tr>
        <w:trPr>
          <w:cantSplit/>
        </w:trPr>
        <w:tc>
          <w:tcPr>
            <w:tcW w:type="dxa" w:w="4873"/>
            <w:tcMar>
              <w:top w:w="90" w:type="dxa"/>
              <w:start w:w="90" w:type="dxa"/>
              <w:bottom w:w="90" w:type="dxa"/>
              <w:end w:w="90" w:type="dxa"/>
            </w:tcMar>
          </w:tcPr>
          <w:p>
            <w:r>
              <w:t>Адрес и домофон</w:t>
            </w:r>
          </w:p>
        </w:tc>
        <w:tc>
          <w:tcPr>
            <w:tcW w:type="dxa" w:w="4873"/>
            <w:tcMar>
              <w:top w:w="90" w:type="dxa"/>
              <w:start w:w="90" w:type="dxa"/>
              <w:bottom w:w="90" w:type="dxa"/>
              <w:end w:w="90" w:type="dxa"/>
            </w:tcMar>
          </w:tcPr>
          <w:p>
            <w:r>
              <w:t>пока сохранён пользователем; снимок заказа - вместе с заказом, чувствительные детали минимизируются после доставки</w:t>
            </w:r>
          </w:p>
        </w:tc>
      </w:tr>
      <w:tr>
        <w:trPr>
          <w:cantSplit/>
        </w:trPr>
        <w:tc>
          <w:tcPr>
            <w:tcW w:type="dxa" w:w="4873"/>
            <w:tcMar>
              <w:top w:w="90" w:type="dxa"/>
              <w:start w:w="90" w:type="dxa"/>
              <w:bottom w:w="90" w:type="dxa"/>
              <w:end w:w="90" w:type="dxa"/>
            </w:tcMar>
          </w:tcPr>
          <w:p>
            <w:r>
              <w:t>Геолокация водителя</w:t>
            </w:r>
          </w:p>
        </w:tc>
        <w:tc>
          <w:tcPr>
            <w:tcW w:type="dxa" w:w="4873"/>
            <w:tcMar>
              <w:top w:w="90" w:type="dxa"/>
              <w:start w:w="90" w:type="dxa"/>
              <w:bottom w:w="90" w:type="dxa"/>
              <w:end w:w="90" w:type="dxa"/>
            </w:tcMar>
          </w:tcPr>
          <w:p>
            <w:r>
              <w:t>live-доступ только на срок активной доставки; после завершения текущая точка не выдаётся, а ограниченные технические события хранятся до 12 месяцев для безопасности и споров</w:t>
            </w:r>
          </w:p>
        </w:tc>
      </w:tr>
      <w:tr>
        <w:trPr>
          <w:cantSplit/>
        </w:trPr>
        <w:tc>
          <w:tcPr>
            <w:tcW w:type="dxa" w:w="4873"/>
            <w:tcMar>
              <w:top w:w="90" w:type="dxa"/>
              <w:start w:w="90" w:type="dxa"/>
              <w:bottom w:w="90" w:type="dxa"/>
              <w:end w:w="90" w:type="dxa"/>
            </w:tcMar>
          </w:tcPr>
          <w:p>
            <w:r>
              <w:t>Заказ/расчёты</w:t>
            </w:r>
          </w:p>
        </w:tc>
        <w:tc>
          <w:tcPr>
            <w:tcW w:type="dxa" w:w="4873"/>
            <w:tcMar>
              <w:top w:w="90" w:type="dxa"/>
              <w:start w:w="90" w:type="dxa"/>
              <w:bottom w:w="90" w:type="dxa"/>
              <w:end w:w="90" w:type="dxa"/>
            </w:tcMar>
          </w:tcPr>
          <w:p>
            <w:r>
              <w:t>5 лет после завершения расчётного года либо дольше, если конкретный законный спор или обязательный срок этого требует</w:t>
            </w:r>
          </w:p>
        </w:tc>
      </w:tr>
      <w:tr>
        <w:trPr>
          <w:cantSplit/>
        </w:trPr>
        <w:tc>
          <w:tcPr>
            <w:tcW w:type="dxa" w:w="4873"/>
            <w:tcMar>
              <w:top w:w="90" w:type="dxa"/>
              <w:start w:w="90" w:type="dxa"/>
              <w:bottom w:w="90" w:type="dxa"/>
              <w:end w:w="90" w:type="dxa"/>
            </w:tcMar>
          </w:tcPr>
          <w:p>
            <w:r>
              <w:t>Обращения и согласия</w:t>
            </w:r>
          </w:p>
        </w:tc>
        <w:tc>
          <w:tcPr>
            <w:tcW w:type="dxa" w:w="4873"/>
            <w:tcMar>
              <w:top w:w="90" w:type="dxa"/>
              <w:start w:w="90" w:type="dxa"/>
              <w:bottom w:w="90" w:type="dxa"/>
              <w:end w:w="90" w:type="dxa"/>
            </w:tcMar>
          </w:tcPr>
          <w:p>
            <w:r>
              <w:t>3 года после закрытия обращения; доказательства договора и согласий — вместе с относящимся к ним заказом/отношением и в пределах применимого срока требований</w:t>
            </w:r>
          </w:p>
        </w:tc>
      </w:tr>
      <w:tr>
        <w:trPr>
          <w:cantSplit/>
        </w:trPr>
        <w:tc>
          <w:tcPr>
            <w:tcW w:type="dxa" w:w="4873"/>
            <w:tcMar>
              <w:top w:w="90" w:type="dxa"/>
              <w:start w:w="90" w:type="dxa"/>
              <w:bottom w:w="90" w:type="dxa"/>
              <w:end w:w="90" w:type="dxa"/>
            </w:tcMar>
          </w:tcPr>
          <w:p>
            <w:r>
              <w:t>Логи безопасности</w:t>
            </w:r>
          </w:p>
        </w:tc>
        <w:tc>
          <w:tcPr>
            <w:tcW w:type="dxa" w:w="4873"/>
            <w:tcMar>
              <w:top w:w="90" w:type="dxa"/>
              <w:start w:w="90" w:type="dxa"/>
              <w:bottom w:w="90" w:type="dxa"/>
              <w:end w:w="90" w:type="dxa"/>
            </w:tcMar>
          </w:tcPr>
          <w:p>
            <w:r>
              <w:t>до 12 месяцев с минимизацией payload и без записи гостевых tracking-токенов</w:t>
            </w:r>
          </w:p>
        </w:tc>
      </w:tr>
      <w:tr>
        <w:trPr>
          <w:cantSplit/>
        </w:trPr>
        <w:tc>
          <w:tcPr>
            <w:tcW w:type="dxa" w:w="4873"/>
            <w:tcMar>
              <w:top w:w="90" w:type="dxa"/>
              <w:start w:w="90" w:type="dxa"/>
              <w:bottom w:w="90" w:type="dxa"/>
              <w:end w:w="90" w:type="dxa"/>
            </w:tcMar>
          </w:tcPr>
          <w:p>
            <w:r>
              <w:t>Backup</w:t>
            </w:r>
          </w:p>
        </w:tc>
        <w:tc>
          <w:tcPr>
            <w:tcW w:type="dxa" w:w="4873"/>
            <w:tcMar>
              <w:top w:w="90" w:type="dxa"/>
              <w:start w:w="90" w:type="dxa"/>
              <w:bottom w:w="90" w:type="dxa"/>
              <w:end w:w="90" w:type="dxa"/>
            </w:tcMar>
          </w:tcPr>
          <w:p>
            <w:r>
              <w:t>операторская ежедневная копия в 03:20 МСК со случайной задержкой до 15 минут; ротация 14 дней; копии находятся на том же VPS в российском ЦОД</w:t>
            </w:r>
          </w:p>
        </w:tc>
      </w:tr>
    </w:tbl>
    <w:p>
      <w:r>
        <w:t>Когда цель достигнута, согласие отозвано и нет иного основания, данные уничтожаются в сроки закона; невозможные к немедленному уничтожению данные блокируются до удаления.</w:t>
      </w:r>
    </w:p>
    <w:p>
      <w:pPr>
        <w:pStyle w:val="Heading1"/>
      </w:pPr>
      <w:r>
        <w:t>9. Права субъекта</w:t>
      </w:r>
    </w:p>
    <w:p>
      <w:r>
        <w:t xml:space="preserve">Субъект вправе получить сведения об обработке, требовать уточнения, блокирования или уничтожения, отозвать согласие, возражать против рекламы и обжаловать действия оператору, Роскомнадзору или в суд. Запрос направляется на </w:t>
      </w:r>
      <w:r>
        <w:rPr>
          <w:rFonts w:ascii="Courier New" w:hAnsi="Courier New"/>
          <w:sz w:val="18"/>
        </w:rPr>
        <w:t>privacy@wayyaam.ru</w:t>
      </w:r>
      <w:r>
        <w:t xml:space="preserve"> с достаточной для идентификации информацией. Копию паспорта нельзя требовать автоматически: оператор использует минимально необходимый способ проверки.</w:t>
      </w:r>
    </w:p>
    <w:p>
      <w:r>
        <w:t xml:space="preserve">Самостоятельного удаления клиентского аккаунта пока нет. Клиент пишет на </w:t>
      </w:r>
      <w:r>
        <w:rPr>
          <w:rFonts w:ascii="Courier New" w:hAnsi="Courier New"/>
          <w:sz w:val="18"/>
        </w:rPr>
        <w:t>privacy@wayyaam.ru</w:t>
      </w:r>
      <w:r>
        <w:t>; оператор подтверждает получение, проверяет личность, прекращает необязательную обработку, удаляет/блокирует данные и сообщает результат. Отказ объясняется со ссылкой на законное основание и срок хранения.</w:t>
      </w:r>
    </w:p>
    <w:p>
      <w:pPr>
        <w:pStyle w:val="Heading1"/>
      </w:pPr>
      <w:r>
        <w:t>10. Защита и инциденты</w:t>
      </w:r>
    </w:p>
    <w:p>
      <w:r>
        <w:t>Ответственным за организацию обработки является сам оператор — Абдулкадыров Дук-Ваха Магомедович. Оператор ведёт реестр систем и доступов, применяет RLS и минимальные привилегии, защищённые каналы, резервирование, журналирование и контроль подрядчиков. В панели хостинга журналируются действия; основная инфраструктура использует firewall, дата-центр имеет бесперебойное питание. ООО «Бегет» не заявляет для клиентской инфраструктуры WayYaam аттестацию ФСТЭК, собственные СЗКИ или отдельную защиту сайта от DDoS, поэтому такие меры не декларируются как предоставленные хостером. При инциденте действует утверждённый регламент, включая обязательные уведомления в применимых случаях.</w:t>
      </w:r>
    </w:p>
    <w:p>
      <w:pPr>
        <w:pStyle w:val="Heading1"/>
      </w:pPr>
      <w:r>
        <w:t>11. Несовершеннолетние</w:t>
      </w:r>
    </w:p>
    <w:p>
      <w:r>
        <w:t>Возрастной запрет сервисом пока не установлен. Лицо должно обладать необходимой дееспособностью; где по закону требуется участие родителя или законного представителя, обработка и заказ выполняются через него. Оператор вправе запросить минимальные подтверждения представительства.</w:t>
      </w:r>
    </w:p>
    <w:p>
      <w:pPr>
        <w:pStyle w:val="Heading1"/>
      </w:pPr>
      <w:r>
        <w:t>12. Изменения и контакты</w:t>
      </w:r>
    </w:p>
    <w:p>
      <w:r>
        <w:t xml:space="preserve">Дата начала обработки персональных данных — 25.08.2026. Обработка прекращается при прекращении деятельности платформы WayYaam и завершении обязательных сроков хранения, а по отдельной цели — также при достижении цели и отсутствии иного законного основания. Существенные новые цели или получатели не применяются задним числом без надлежащего основания и информирования. Актуальная версия доступна на </w:t>
      </w:r>
      <w:r>
        <w:rPr>
          <w:rFonts w:ascii="Courier New" w:hAnsi="Courier New"/>
          <w:sz w:val="18"/>
        </w:rPr>
        <w:t>wayyaam.ru</w:t>
      </w:r>
      <w:r>
        <w:t xml:space="preserve">. Вопросы: </w:t>
      </w:r>
      <w:r>
        <w:rPr>
          <w:rFonts w:ascii="Courier New" w:hAnsi="Courier New"/>
          <w:sz w:val="18"/>
        </w:rPr>
        <w:t>privacy@wayyaam.ru</w:t>
      </w:r>
      <w:r>
        <w:t>. Надзорный орган - Федеральная служба по надзору в сфере связи, информационных технологий и массовых коммуникаций.</w:t>
      </w:r>
    </w:p>
    <w:sectPr w:rsidR="00FC693F" w:rsidRPr="0006063C" w:rsidSect="00034616">
      <w:footerReference w:type="default" r:id="rId9"/>
      <w:pgSz w:w="12240" w:h="15840"/>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WayYaam · 3.0 · privacy@wayyaam.ru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D5F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26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0D5F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Политика обработки персональных данных</dc:title>
  <dc:subject>Комплект документов WayYaam</dc:subject>
  <dc:creator>Абдулкадыров Дук-Ваха Магомедович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