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Черновик уведомления Роскомнадзора об обработке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Черновик для переноса в официальную форму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Оператор</w:t>
      </w:r>
    </w:p>
    <w:p>
      <w:r>
        <w:t xml:space="preserve">Абдулкадыров Дук-Ваха Магомедович; статус: физическое лицо; адрес: ул. Т. Л. Алиева, 69 [УКАЗАТЬ ИНДЕКС, НАСЕЛЁННЫЙ ПУНКТ, РЕГИОН]; email: studiacatalog@outlook.com; телефон/ИНН/идентификатор: </w:t>
      </w:r>
      <w:r>
        <w:rPr>
          <w:rFonts w:ascii="Courier New" w:hAnsi="Courier New"/>
          <w:sz w:val="18"/>
        </w:rPr>
        <w:t>[ЗАПОЛНИТЬ]</w:t>
      </w:r>
      <w:r>
        <w:t xml:space="preserve">. Ответственный и контакт: </w:t>
      </w:r>
      <w:r>
        <w:rPr>
          <w:rFonts w:ascii="Courier New" w:hAnsi="Courier New"/>
          <w:sz w:val="18"/>
        </w:rPr>
        <w:t>[ЗАПОЛНИТЬ]</w:t>
      </w:r>
      <w:r>
        <w:t>.</w:t>
      </w:r>
    </w:p>
    <w:p>
      <w:pPr>
        <w:pStyle w:val="Heading1"/>
      </w:pPr>
      <w:r>
        <w:t>2. Цели и категории</w:t>
      </w:r>
    </w:p>
    <w:p>
      <w:pPr>
        <w:pStyle w:val="ListNumber"/>
      </w:pPr>
      <w:r>
        <w:t>Регистрация и аккаунты клиентов: имя, телефон, данные аутентификации/сессии, технические события.</w:t>
      </w:r>
    </w:p>
    <w:p>
      <w:pPr>
        <w:pStyle w:val="ListNumber"/>
      </w:pPr>
      <w:r>
        <w:t>Заключение и исполнение заказов: контакты, адрес/детали доступа, координаты, комментарий, состав/стоимость, статус/способ оплаты.</w:t>
      </w:r>
    </w:p>
    <w:p>
      <w:pPr>
        <w:pStyle w:val="ListNumber"/>
      </w:pPr>
      <w:r>
        <w:t>Работа с ресторанами: организация, представитель/контакты, договорные/банковские реквизиты, контент, заказы, расчёты.</w:t>
      </w:r>
    </w:p>
    <w:p>
      <w:pPr>
        <w:pStyle w:val="ListNumber"/>
      </w:pPr>
      <w:r>
        <w:t>Работа с водителями: ФИО, контакты, фото, авто/госномер, зона/геолокация, доставки, выплаты/задолженность.</w:t>
      </w:r>
    </w:p>
    <w:p>
      <w:pPr>
        <w:pStyle w:val="ListNumber"/>
      </w:pPr>
      <w:r>
        <w:t>Поддержка, обращения и законные требования: контакт, содержание, история действий/ответов.</w:t>
      </w:r>
    </w:p>
    <w:p>
      <w:pPr>
        <w:pStyle w:val="ListNumber"/>
      </w:pPr>
      <w:r>
        <w:t>Безопасность: IP, user-agent, идентификаторы и события доступа.</w:t>
      </w:r>
    </w:p>
    <w:p>
      <w:pPr>
        <w:pStyle w:val="ListNumber"/>
      </w:pPr>
      <w:r>
        <w:t>Реклама: только субъектам с отдельным согласием; контакт/endpoint, канал, предпочтения и доказательство согласия.</w:t>
      </w:r>
    </w:p>
    <w:p>
      <w:r>
        <w:t>Категории субъектов соответствуют каждой цели. Специальные категории и биометрическая идентификация не планируются.</w:t>
      </w:r>
    </w:p>
    <w:p>
      <w:pPr>
        <w:pStyle w:val="Heading1"/>
      </w:pPr>
      <w:r>
        <w:t>3. Правовые основания</w:t>
      </w:r>
    </w:p>
    <w:p>
      <w:r>
        <w:t>152-ФЗ, ГК РФ и договоры/оферты, законодательство о защите прав потребителей, налоговом/бухгалтерском учёте, рекламе, а также отдельные согласия в предусмотренных случаях. Для каждой цели в официальной форме основание указывается точно, без общей ссылки на всё законодательство.</w:t>
      </w:r>
    </w:p>
    <w:p>
      <w:pPr>
        <w:pStyle w:val="Heading1"/>
      </w:pPr>
      <w:r>
        <w:t>4. Действия, способ и сроки</w:t>
      </w:r>
    </w:p>
    <w:p>
      <w:r>
        <w:t xml:space="preserve">Перечень действий: сбор, запись, систематизация, накопление, хранение, уточнение, извлечение, использование, передача/предоставление/доступ, блокирование, удаление, уничтожение. Обработка автоматизированная и смешанная, передача по сетям. Срок/условие прекращения по каждой цели берётся из утверждённой матрицы retention; дата начала: </w:t>
      </w:r>
      <w:r>
        <w:rPr>
          <w:rFonts w:ascii="Courier New" w:hAnsi="Courier New"/>
          <w:sz w:val="18"/>
        </w:rPr>
        <w:t>[ЗАПОЛНИТЬ]</w:t>
      </w:r>
      <w:r>
        <w:t>.</w:t>
      </w:r>
    </w:p>
    <w:p>
      <w:pPr>
        <w:pStyle w:val="Heading1"/>
      </w:pPr>
      <w:r>
        <w:t>5. Локализация и безопасность</w:t>
      </w:r>
    </w:p>
    <w:p>
      <w:r>
        <w:t xml:space="preserve">Местонахождение базы: РФ, </w:t>
      </w:r>
      <w:r>
        <w:rPr>
          <w:rFonts w:ascii="Courier New" w:hAnsi="Courier New"/>
          <w:sz w:val="18"/>
        </w:rPr>
        <w:t>[ПОСТАВЩИК, ТОЧНЫЙ АДРЕС ЦОД]</w:t>
      </w:r>
      <w:r>
        <w:t xml:space="preserve">. Для текущего </w:t>
      </w:r>
      <w:r>
        <w:rPr>
          <w:rFonts w:ascii="Courier New" w:hAnsi="Courier New"/>
          <w:sz w:val="18"/>
        </w:rPr>
        <w:t>eu-west-2</w:t>
      </w:r>
      <w:r>
        <w:t xml:space="preserve"> этот раздел подписывать нельзя. Меры: ответственный/акты/контроль, модель угроз и уровень защищённости </w:t>
      </w:r>
      <w:r>
        <w:rPr>
          <w:rFonts w:ascii="Courier New" w:hAnsi="Courier New"/>
          <w:sz w:val="18"/>
        </w:rPr>
        <w:t>[ЗАПОЛНИТЬ]</w:t>
      </w:r>
      <w:r>
        <w:t>, разграничение/RLS/MFA, учёт носителей, защита каналов, журналы, резервирование и recovery, обнаружение/реагирование, уничтожение и контроль подрядчиков.</w:t>
      </w:r>
    </w:p>
    <w:p>
      <w:pPr>
        <w:pStyle w:val="Heading1"/>
      </w:pPr>
      <w:r>
        <w:t>6. Трансграничная передача</w:t>
      </w:r>
    </w:p>
    <w:p>
      <w:r>
        <w:rPr>
          <w:rFonts w:ascii="Courier New" w:hAnsi="Courier New"/>
          <w:sz w:val="18"/>
        </w:rPr>
        <w:t>[НЕТ - после отключения иностранных потоков]</w:t>
      </w:r>
      <w:r>
        <w:t xml:space="preserve"> либо </w:t>
      </w:r>
      <w:r>
        <w:rPr>
          <w:rFonts w:ascii="Courier New" w:hAnsi="Courier New"/>
          <w:sz w:val="18"/>
        </w:rPr>
        <w:t>[ДА - перечислить страны/получателей и дату отдельного уведомления]</w:t>
      </w:r>
      <w:r>
        <w:t>. Нельзя отмечать «нет», пока production использует Supabase EU, WhatsApp, иностранную геоинфраструктуру или push с иностранными получателями.</w:t>
      </w:r>
    </w:p>
    <w:p>
      <w:pPr>
        <w:pStyle w:val="Heading1"/>
      </w:pPr>
      <w:r>
        <w:t>7. Проверка перед подачей</w:t>
      </w:r>
    </w:p>
    <w:p>
      <w:r>
        <w:t>Заполнить все реквизиты, согласовать цели с реальной схемой, приложить/иметь доказательства мер, отдельно оформить трансграничную процедуру, сохранить подписанную копию и номер. Об изменениях сообщать в установленный срок; о прекращении - отдельно.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Черновик уведомления Роскомнадзора об обработке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