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Черновик уведомления о трансграничной передаче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1.0 от 31 июля 2026 года</w:t>
      </w:r>
    </w:p>
    <w:p>
      <w:r>
        <w:rPr>
          <w:b/>
        </w:rPr>
        <w:t>Статус:</w:t>
      </w:r>
      <w:r>
        <w:t xml:space="preserve"> Условный черновик; подаётся до начала передачи</w:t>
      </w:r>
    </w:p>
    <w:p>
      <w:r>
        <w:rPr>
          <w:b/>
        </w:rPr>
        <w:t>Оператор:</w:t>
      </w:r>
      <w:r>
        <w:t xml:space="preserve"> Абдулкадыров Дук-Ваха Магомедович, адрес: ул. Т. Л. Алиева, 69 [УКАЗАТЬ ИНДЕКС, НАСЕЛЁННЫЙ ПУНКТ, РЕГИОН], email: studiacatalog@outlook.com</w:t>
      </w:r>
    </w:p>
    <w:p>
      <w:pPr>
        <w:spacing w:before="120" w:after="160"/>
        <w:ind w:left="255" w:right="113"/>
      </w:pPr>
      <w:r>
        <w:rPr>
          <w:color w:val="8B5500"/>
        </w:rPr>
        <w:t xml:space="preserve">Рабочий проект. До публикации необходимо удалить все метки </w:t>
      </w:r>
      <w:r>
        <w:rPr>
          <w:rFonts w:ascii="Courier New" w:hAnsi="Courier New"/>
          <w:sz w:val="18"/>
        </w:rPr>
        <w:t>[ЗАПОЛНИТЬ]</w:t>
      </w:r>
      <w:r>
        <w:t>, подтвердить российскую инфраструктуру и получить проверку российского юриста.</w:t>
      </w:r>
    </w:p>
    <w:p>
      <w:pPr>
        <w:pStyle w:val="Heading1"/>
      </w:pPr>
      <w:r>
        <w:t>1. Решение оператора</w:t>
      </w:r>
    </w:p>
    <w:p>
      <w:r>
        <w:t xml:space="preserve">Предпочтительная архитектура WayYaam исключает иностранную primary-базу и заменяет внешние сервисы российскими. Если иностранный поток сохраняется, </w:t>
      </w:r>
      <w:r>
        <w:rPr>
          <w:b/>
        </w:rPr>
        <w:t>до начала</w:t>
      </w:r>
      <w:r>
        <w:t xml:space="preserve"> передачи заполняется отдельное уведомление по каждому получателю/стране после документированной оценки.</w:t>
      </w:r>
    </w:p>
    <w:p>
      <w:pPr>
        <w:pStyle w:val="Heading1"/>
      </w:pPr>
      <w:r>
        <w:t>2. Кандидаты из фактического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Получатель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Возможные данные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2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Страна/гарантии</w:t>
            </w:r>
          </w:p>
        </w:tc>
      </w:tr>
      <w:tr>
        <w:trPr>
          <w:cantSplit/>
        </w:trP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 xml:space="preserve">Supabase linked </w:t>
            </w:r>
            <w:r>
              <w:rPr>
                <w:rFonts w:ascii="Courier New" w:hAnsi="Courier New"/>
                <w:sz w:val="18"/>
              </w:rPr>
              <w:t>eu-west-2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весь production-набор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DB/Auth/Storage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[ЮРЛИЦО, UK/EU, договор, дата-центр - ПРОВЕРИТЬ]</w:t>
            </w:r>
            <w:r>
              <w:t>; primary-сбор граждан РФ недопустим</w:t>
            </w:r>
          </w:p>
        </w:tc>
      </w:tr>
      <w:tr>
        <w:trPr>
          <w:cantSplit/>
        </w:trP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Meta/WhatsApp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имя, телефон, адрес, заказ, ссылки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связь по заказу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[ЮРЛИЦО, СТРАНЫ/ЦОД, ПОЛИТИКА - ЗАПОЛНИТЬ]</w:t>
            </w:r>
          </w:p>
        </w:tc>
      </w:tr>
      <w:tr>
        <w:trPr>
          <w:cantSplit/>
        </w:trP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Nominatim/OSM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адресный запрос, координаты, IP/UA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геокодирование/карта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[ОПЕРАТОР/СТРАНЫ - ЗАПОЛНИТЬ]</w:t>
            </w:r>
          </w:p>
        </w:tc>
      </w:tr>
      <w:tr>
        <w:trPr>
          <w:cantSplit/>
        </w:trP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public OSRM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точки маршрута, IP/UA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маршрут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[ОПЕРАТОР/СТРАНЫ - ЗАПОЛНИТЬ]</w:t>
            </w:r>
          </w:p>
        </w:tc>
      </w:tr>
      <w:tr>
        <w:trPr>
          <w:cantSplit/>
        </w:trP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Esri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область карты, IP/UA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tiles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[ЮРЛИЦО/СТРАНЫ - ЗАПОЛНИТЬ]</w:t>
            </w:r>
          </w:p>
        </w:tc>
      </w:tr>
      <w:tr>
        <w:trPr>
          <w:cantSplit/>
        </w:trP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browser push providers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endpoint/ключи, IP/UA, текст события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push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зависит от браузера; составить матрицу</w:t>
            </w:r>
          </w:p>
        </w:tc>
      </w:tr>
      <w:tr>
        <w:trPr>
          <w:cantSplit/>
        </w:trPr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GitHub Pages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IP/UA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 hosting</w:t>
            </w:r>
          </w:p>
        </w:tc>
        <w:tc>
          <w:tcPr>
            <w:tcW w:type="dxa" w:w="24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Courier New" w:hAnsi="Courier New"/>
                <w:sz w:val="18"/>
              </w:rPr>
              <w:t>[ЮРЛИЦО/СТРАНЫ - ЗАПОЛНИТЬ]</w:t>
            </w:r>
          </w:p>
        </w:tc>
      </w:tr>
    </w:tbl>
    <w:p>
      <w:pPr>
        <w:pStyle w:val="Heading1"/>
      </w:pPr>
      <w:r>
        <w:t>3. Обязательная оценка</w:t>
      </w:r>
    </w:p>
    <w:p>
      <w:r>
        <w:t>Для каждого получателя собрать наименование/адрес, страны, цель, категории субъектов/данных, договор и обязанность конфиденциальности, меры защиты, сроки/удаление, субпроцессоров и сведения о правовом режиме страны. Оценка утверждается оператором; уведомление подаётся до передачи. При запросе Роскомнадзора передача не начинается или прекращается в установленном порядке.</w:t>
      </w:r>
    </w:p>
    <w:p>
      <w:pPr>
        <w:pStyle w:val="Heading1"/>
      </w:pPr>
      <w:r>
        <w:t>4. Основание и минимизация</w:t>
      </w:r>
    </w:p>
    <w:p>
      <w:r>
        <w:t>Указать конкретное основание передачи. Согласие не исправляет нарушение требования российской первичной локализации. URL и сообщение не должны содержать данные сверх цели; для WhatsApp должна быть российская альтернатива. Содержание push не включает полный адрес/телефон на экране блокировки.</w:t>
      </w:r>
    </w:p>
    <w:p>
      <w:pPr>
        <w:pStyle w:val="Heading1"/>
      </w:pPr>
      <w:r>
        <w:t>5. Статус</w:t>
      </w:r>
    </w:p>
    <w:p>
      <w:r>
        <w:t xml:space="preserve">Этот черновик </w:t>
      </w:r>
      <w:r>
        <w:rPr>
          <w:b/>
        </w:rPr>
        <w:t>не является готовым уведомлением</w:t>
      </w:r>
      <w:r>
        <w:t>: сведения о юридических получателях, странах и гарантиях отсутствуют. До их заполнения соответствующие интеграции должны быть выключены для реальных данных.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1.0 · studiacatalog@outlook.com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Черновик уведомления о трансграничной передаче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