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Политика обработки персональных данных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1.0 от 31 июля 2026 года</w:t>
      </w:r>
    </w:p>
    <w:p>
      <w:r>
        <w:rPr>
          <w:b/>
        </w:rPr>
        <w:t>Статус:</w:t>
      </w:r>
      <w:r>
        <w:t xml:space="preserve"> Публичный документ</w:t>
      </w:r>
    </w:p>
    <w:p>
      <w:r>
        <w:rPr>
          <w:b/>
        </w:rPr>
        <w:t>Оператор:</w:t>
      </w:r>
      <w:r>
        <w:t xml:space="preserve"> Абдулкадыров Дук-Ваха Магомедович, адрес: ул. Т. Л. Алиева, 69 [УКАЗАТЬ ИНДЕКС, НАСЕЛЁННЫЙ ПУНКТ, РЕГИОН], email: studiacatalog@outlook.com</w:t>
      </w:r>
    </w:p>
    <w:p>
      <w:pPr>
        <w:spacing w:before="120" w:after="160"/>
        <w:ind w:left="255" w:right="113"/>
      </w:pPr>
      <w:r>
        <w:rPr>
          <w:color w:val="8B5500"/>
        </w:rPr>
        <w:t xml:space="preserve">Рабочий проект. До публикации необходимо удалить все метки </w:t>
      </w:r>
      <w:r>
        <w:rPr>
          <w:rFonts w:ascii="Courier New" w:hAnsi="Courier New"/>
          <w:sz w:val="18"/>
        </w:rPr>
        <w:t>[ЗАПОЛНИТЬ]</w:t>
      </w:r>
      <w:r>
        <w:t>, подтвердить российскую инфраструктуру и получить проверку российского юриста.</w:t>
      </w:r>
    </w:p>
    <w:p>
      <w:pPr>
        <w:pStyle w:val="Heading1"/>
      </w:pPr>
      <w:r>
        <w:t>1. Назначение и сфера действия</w:t>
      </w:r>
    </w:p>
    <w:p>
      <w:r>
        <w:t>Политика определяет порядок обработки и защиты персональных данных при работе сайта, PWA, личных кабинетов, заказов, доставки и поддержки WayYaam. Она применяется к клиентам, посетителям, представителям заведений, ресторанам, кафе и кофейням, водителям, администраторам и обратившимся лицам. При расширении на продукты или иные категории бизнеса цели и получатели уточняются до начала новой обработки.</w:t>
      </w:r>
    </w:p>
    <w:p>
      <w:r>
        <w:t>Оператор самостоятельно определяет платформенные цели. Ресторан обрабатывает полученные данные для принятия и приготовления заказа; водитель - только для порученной доставки. Их самостоятельная ответственность и обработка по поручению разграничиваются договорами.</w:t>
      </w:r>
    </w:p>
    <w:p>
      <w:pPr>
        <w:pStyle w:val="Heading1"/>
      </w:pPr>
      <w:r>
        <w:t>2. Принципы</w:t>
      </w:r>
    </w:p>
    <w:p>
      <w:pPr>
        <w:pStyle w:val="ListBullet"/>
      </w:pPr>
      <w:r>
        <w:t>законная, справедливая и ограниченная заявленными целями обработка;</w:t>
      </w:r>
    </w:p>
    <w:p>
      <w:pPr>
        <w:pStyle w:val="ListBullet"/>
      </w:pPr>
      <w:r>
        <w:t>недопустимость объединения несовместимых баз и избыточного сбора;</w:t>
      </w:r>
    </w:p>
    <w:p>
      <w:pPr>
        <w:pStyle w:val="ListBullet"/>
      </w:pPr>
      <w:r>
        <w:t>точность, достаточность, ограничение срока и уничтожение после достижения цели;</w:t>
      </w:r>
    </w:p>
    <w:p>
      <w:pPr>
        <w:pStyle w:val="ListBullet"/>
      </w:pPr>
      <w:r>
        <w:t>конфиденциальность, разграничение доступа и доказуемость согласий;</w:t>
      </w:r>
    </w:p>
    <w:p>
      <w:pPr>
        <w:pStyle w:val="ListBullet"/>
      </w:pPr>
      <w:r>
        <w:t>первичная локализация интернет-сбора данных граждан РФ в базах на территории России.</w:t>
      </w:r>
    </w:p>
    <w:p>
      <w:pPr>
        <w:pStyle w:val="Heading1"/>
      </w:pPr>
      <w:r>
        <w:t>3. Цели, данные, субъекты и основания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Цель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Субъекты и данные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Основание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Регистрация и аккаунт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клиент: имя, телефон, парольный хеш, сессии; сотрудники: ФИО, email, телефон, роль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договор/пользовательское соглашение; отдельное согласие там, где оно требуется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Оформление и исполнение заказа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имя, телефон, адрес, детали доступа, координаты и точность, комментарий, состав, сумма, способ оплаты, статусы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договор с клиентом; передача ресторану/водителю - отдельное подтверждение и/или необходимость исполнения договора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Доставка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клиентские контакты и адрес; водитель: ФИО, телефон, авто, госномер, геолокация, статусы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договор/оферта водителя, согласие на геолокацию, законный интерес безопасности без ущемления прав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Работа с заведением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организация, адрес, телефон, представитель, email, банковские реквизиты, меню, фото, режим, заказы, выплаты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оферта ресторана; закон и бухгалтерский учёт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Поддержка и обращения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контакт, содержание, идентификаторы заказов, доказательства ответа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исполнение договора, согласие/обращение, законные обязанности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Безопасность и аудит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IP, user-agent, события входа и действий, технические логи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законные обязанности и интерес в защите сервиса с оценкой баланса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Сервисные push/email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endpoint/ключи, роль, сведения события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запрос пользователя и работа договора; разрешение браузера не заменяет рекламное согласие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Реклама и акции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контакты, push endpoint, предпочтения и факт согласия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только отдельное предварительное согласие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Закон, споры и учёт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заказ, расчёты, договорные события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требования закона, защита прав и законные интересы</w:t>
            </w:r>
          </w:p>
        </w:tc>
      </w:tr>
    </w:tbl>
    <w:p>
      <w:r>
        <w:t>Оператор не запрашивает специальные категории или биометрию. Не следует указывать здоровье, национальность, религию и иные чувствительные сведения в комментариях. Фото не используются для автоматической биометрической идентификации.</w:t>
      </w:r>
    </w:p>
    <w:p>
      <w:pPr>
        <w:pStyle w:val="Heading1"/>
      </w:pPr>
      <w:r>
        <w:t>4. Действия и способы</w:t>
      </w:r>
    </w:p>
    <w:p>
      <w:r>
        <w:t>Сбор, запись, систематизация, накопление, хранение, уточнение, извлечение, использование, передача, предоставление, доступ, блокирование, удаление и уничтожение выполняются автоматизированно с передачей по сетям либо смешанным способом при ручной обработке обращений. Распространение неопределённому кругу лиц не является целью; отдельное согласие на распространение не запрашивается.</w:t>
      </w:r>
    </w:p>
    <w:p>
      <w:pPr>
        <w:pStyle w:val="Heading1"/>
      </w:pPr>
      <w:r>
        <w:t>5. Получатели и инфраструктура</w:t>
      </w:r>
    </w:p>
    <w:p>
      <w:r>
        <w:t xml:space="preserve">Данные заказа предоставляются соответствующему ресторану, назначенному водителю и уполномоченной поддержке в минимальном объёме и на нужный срок. Основная БД, Auth, файловое хранилище и резервные копии должны находиться в России: </w:t>
      </w:r>
      <w:r>
        <w:rPr>
          <w:b/>
        </w:rPr>
        <w:t>поставщик, адрес ЦОД и договор - `[ЗАПОЛНИТЬ]`</w:t>
      </w:r>
      <w:r>
        <w:t>.</w:t>
      </w:r>
    </w:p>
    <w:p>
      <w:r>
        <w:t xml:space="preserve">Фактический код содержит обращения к WhatsApp/Meta, Nominatim/OpenStreetMap, public OSRM, OSM/Esri tiles, browser push providers и GitHub Pages. До законного запуска каждый иностранный поток должен быть отключён или пройти оценку получателя и отдельную предварительную процедуру трансграничной передачи. Текущий Supabase </w:t>
      </w:r>
      <w:r>
        <w:rPr>
          <w:rFonts w:ascii="Courier New" w:hAnsi="Courier New"/>
          <w:sz w:val="18"/>
        </w:rPr>
        <w:t>eu-west-2</w:t>
      </w:r>
      <w:r>
        <w:t xml:space="preserve"> нельзя использовать для первичной базы граждан РФ.</w:t>
      </w:r>
    </w:p>
    <w:p>
      <w:r>
        <w:t>Firebase, Sentry, внешняя аналитика, SMS и платёжные системы сейчас не объявляются действующими получателями. Перед их подключением оператор оценивает локализацию, договор, страны, безопасность, обновляет эту Политику и уведомления и получает согласие, если оно нужно.</w:t>
      </w:r>
    </w:p>
    <w:p>
      <w:pPr>
        <w:pStyle w:val="Heading1"/>
      </w:pPr>
      <w:r>
        <w:t>6. Геолокация</w:t>
      </w:r>
    </w:p>
    <w:p>
      <w:r>
        <w:t>Клиент передаёт точку только явным действием либо выбирает адрес вручную. Водитель передаёт геолокацию только при включённом статусе online и/или активной доставке; приложение показывает индикатор и прекращает сбор после выхода offline. Точная точка доступна только участникам конкретной доставки. После срока разрешения споров она удаляется или обезличивается.</w:t>
      </w:r>
    </w:p>
    <w:p>
      <w:pPr>
        <w:pStyle w:val="Heading1"/>
      </w:pPr>
      <w:r>
        <w:t>7. Cookies и устройства</w:t>
      </w:r>
    </w:p>
    <w:p>
      <w:r>
        <w:t>Технические средства хранения нужны для сессии, корзины, безопасности, PWA и выбора настроек. Аналитические cookies включаются только после выбора пользователя. Подробности и управление - в Политике cookies. Выход из аккаунта и удаление данных должны очищать связанные localStorage, IndexedDB, Cache Storage и push-подписки на доступном устройстве.</w:t>
      </w:r>
    </w:p>
    <w:p>
      <w:pPr>
        <w:pStyle w:val="Heading1"/>
      </w:pPr>
      <w:r>
        <w:t>8. Сроки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Набор</w:t>
            </w:r>
          </w:p>
        </w:tc>
        <w:tc>
          <w:tcPr>
            <w:tcW w:type="dxa" w:w="48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Рабочий срок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Аккаунт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пока действует аккаунт; затем до 30 дней на рабочее удаление, кроме законного хранения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Сессии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не более 30 дней без активности; немедленно после отзыва/компрометации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Черновики/корзина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30 дней без активности или очистка пользователем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Адрес и домофон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пока сохранён пользователем; снимок заказа - вместе с заказом, чувствительные детали минимизируются после доставки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Геолокация водителя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 xml:space="preserve">оперативно на срок доставки; детальная история </w:t>
            </w:r>
            <w:r>
              <w:rPr>
                <w:rFonts w:ascii="Courier New" w:hAnsi="Courier New"/>
                <w:sz w:val="18"/>
              </w:rPr>
              <w:t>[ЗАПОЛНИТЬ, рекомендуется минимальный срок]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Заказ/расчёты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 xml:space="preserve">срок претензий и обязательного бухгалтерского/налогового хранения, точно </w:t>
            </w:r>
            <w:r>
              <w:rPr>
                <w:rFonts w:ascii="Courier New" w:hAnsi="Courier New"/>
                <w:sz w:val="18"/>
              </w:rPr>
              <w:t>[ЗАПОЛНИТЬ С ЮРИСТОМ]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Обращения и согласия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для доказательства ответа/основания в пределах применимых сроков требований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Логи безопасности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Courier New" w:hAnsi="Courier New"/>
                <w:sz w:val="18"/>
              </w:rPr>
              <w:t>[ЗАПОЛНИТЬ, например 12 месяцев]</w:t>
            </w:r>
            <w:r>
              <w:t>, с минимизацией payload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Backup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Courier New" w:hAnsi="Courier New"/>
                <w:sz w:val="18"/>
              </w:rPr>
              <w:t>[ЗАПОЛНИТЬ TTL]</w:t>
            </w:r>
            <w:r>
              <w:t>; удалённые данные исчезают после ротации, доступ блокируется сразу</w:t>
            </w:r>
          </w:p>
        </w:tc>
      </w:tr>
    </w:tbl>
    <w:p>
      <w:r>
        <w:t>Когда цель достигнута, согласие отозвано и нет иного основания, данные уничтожаются в сроки закона; невозможные к немедленному уничтожению данные блокируются до удаления.</w:t>
      </w:r>
    </w:p>
    <w:p>
      <w:pPr>
        <w:pStyle w:val="Heading1"/>
      </w:pPr>
      <w:r>
        <w:t>9. Права субъекта</w:t>
      </w:r>
    </w:p>
    <w:p>
      <w:r>
        <w:t xml:space="preserve">Субъект вправе получить сведения об обработке, требовать уточнения, блокирования или уничтожения, отозвать согласие, возражать против рекламы и обжаловать действия оператору, Роскомнадзору или в суд. Запрос направляется на </w:t>
      </w:r>
      <w:r>
        <w:rPr>
          <w:rFonts w:ascii="Courier New" w:hAnsi="Courier New"/>
          <w:sz w:val="18"/>
        </w:rPr>
        <w:t>{EMAIL}</w:t>
      </w:r>
      <w:r>
        <w:t xml:space="preserve"> с достаточной для идентификации информацией. Копию паспорта нельзя требовать автоматически: оператор использует минимально необходимый способ проверки.</w:t>
      </w:r>
    </w:p>
    <w:p>
      <w:r>
        <w:t xml:space="preserve">Самостоятельного удаления клиентского аккаунта пока нет. Клиент пишет на </w:t>
      </w:r>
      <w:r>
        <w:rPr>
          <w:rFonts w:ascii="Courier New" w:hAnsi="Courier New"/>
          <w:sz w:val="18"/>
        </w:rPr>
        <w:t>{EMAIL}</w:t>
      </w:r>
      <w:r>
        <w:t>; оператор подтверждает получение, проверяет личность, прекращает необязательную обработку, удаляет/блокирует данные и сообщает результат. Отказ объясняется со ссылкой на законное основание и срок хранения.</w:t>
      </w:r>
    </w:p>
    <w:p>
      <w:pPr>
        <w:pStyle w:val="Heading1"/>
      </w:pPr>
      <w:r>
        <w:t>10. Защита и инциденты</w:t>
      </w:r>
    </w:p>
    <w:p>
      <w:r>
        <w:t>Оператор назначает ответственного, ведёт реестр систем и доступов, применяет RLS/least privilege, MFA для привилегированных ролей, шифрование, резервирование, журналирование, обучение и проверку подрядчиков. При инциденте действует утверждённый регламент, включая первичное уведомление Роскомнадзора в течение 24 часов и результаты расследования в течение 72 часов, когда применимо.</w:t>
      </w:r>
    </w:p>
    <w:p>
      <w:pPr>
        <w:pStyle w:val="Heading1"/>
      </w:pPr>
      <w:r>
        <w:t>11. Несовершеннолетние</w:t>
      </w:r>
    </w:p>
    <w:p>
      <w:r>
        <w:t>Возрастной запрет сервисом пока не установлен. Лицо должно обладать необходимой дееспособностью; где по закону требуется участие родителя или законного представителя, обработка и заказ выполняются через него. Оператор вправе запросить минимальные подтверждения представительства.</w:t>
      </w:r>
    </w:p>
    <w:p>
      <w:pPr>
        <w:pStyle w:val="Heading1"/>
      </w:pPr>
      <w:r>
        <w:t>12. Изменения и контакты</w:t>
      </w:r>
    </w:p>
    <w:p>
      <w:r>
        <w:t xml:space="preserve">Существенные новые цели или получатели не применяются задним числом без надлежащего основания и информирования. Актуальная версия доступна на </w:t>
      </w:r>
      <w:r>
        <w:rPr>
          <w:rFonts w:ascii="Courier New" w:hAnsi="Courier New"/>
          <w:sz w:val="18"/>
        </w:rPr>
        <w:t>{DOMAIN}</w:t>
      </w:r>
      <w:r>
        <w:t xml:space="preserve">. Вопросы: </w:t>
      </w:r>
      <w:r>
        <w:rPr>
          <w:rFonts w:ascii="Courier New" w:hAnsi="Courier New"/>
          <w:sz w:val="18"/>
        </w:rPr>
        <w:t>{EMAIL}</w:t>
      </w:r>
      <w:r>
        <w:t>. Надзорный орган - Федеральная служба по надзору в сфере связи, информационных технологий и массовых коммуникаций.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1.0 · studiacatalog@outlook.com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Политика обработки персональных данных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