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Согласие водителя на обработку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Субъект и оператор</w:t>
      </w:r>
    </w:p>
    <w:p>
      <w:r>
        <w:t>Я, водитель, идентифицируемый данными формы и аккаунта, свободно, своей волей и в своём интересе даю оператору Абдулкадыров Дук-Ваха Магомедович согласие на обработку перечисленных ниже данных. Согласие оформляется отдельно от пользовательского соглашения или оферты.</w:t>
      </w:r>
    </w:p>
    <w:p>
      <w:pPr>
        <w:pStyle w:val="Heading1"/>
      </w:pPr>
      <w:r>
        <w:t>2. Данные и цели</w:t>
      </w:r>
    </w:p>
    <w:p>
      <w:r>
        <w:rPr>
          <w:b/>
        </w:rPr>
        <w:t>Данные:</w:t>
      </w:r>
      <w:r>
        <w:t xml:space="preserve"> ФИО, телефон, email, фотография, автомобиль и государственный номер, город/зона работы, рейтинг и статусы, геолокация и точность во время online/доставки, история доставок, банковские/выплатные реквизиты, задолженность и обращения.</w:t>
      </w:r>
    </w:p>
    <w:p>
      <w:r>
        <w:rPr>
          <w:b/>
        </w:rPr>
        <w:t>Цели:</w:t>
      </w:r>
      <w:r>
        <w:t xml:space="preserve"> создание аккаунта, назначение и исполнение доставок, навигация, связь с клиентом/рестораном, безопасность, расчёты и выплаты, поддержка и споры.</w:t>
      </w:r>
    </w:p>
    <w:p>
      <w:pPr>
        <w:pStyle w:val="Heading1"/>
      </w:pPr>
      <w:r>
        <w:t>3. Действия и способ</w:t>
      </w:r>
    </w:p>
    <w:p>
      <w:r>
        <w:t>Сбор, запись, систематизация, накопление, хранение, уточнение, извлечение, использование, предоставление уполномоченным получателям, доступ, блокирование, удаление и уничтожение; автоматизированная, неавтоматизированная и смешанная обработка с передачей по сети.</w:t>
      </w:r>
    </w:p>
    <w:p>
      <w:pPr>
        <w:pStyle w:val="Heading1"/>
      </w:pPr>
      <w:r>
        <w:t>4. Срок и отзыв</w:t>
      </w:r>
    </w:p>
    <w:p>
      <w:r>
        <w:t xml:space="preserve">Согласие действует до достижения целей, прекращения отношений или отзыва, если иное хранение не обязательно по закону. Отзыв направляется на </w:t>
      </w:r>
      <w:r>
        <w:rPr>
          <w:rFonts w:ascii="Courier New" w:hAnsi="Courier New"/>
          <w:sz w:val="18"/>
        </w:rPr>
        <w:t>studiacatalog@outlook.com</w:t>
      </w:r>
      <w:r>
        <w:t>. Отзыв не влияет на законность предыдущей обработки; оператор вправе продолжить только при наличии самостоятельного основания. При отсутствии основания данные уничтожаются в сроки закона и Регламента удаления.</w:t>
      </w:r>
    </w:p>
    <w:p>
      <w:pPr>
        <w:pStyle w:val="Heading1"/>
      </w:pPr>
      <w:r>
        <w:t>5. Подтверждение</w:t>
      </w:r>
    </w:p>
    <w:p>
      <w:r>
        <w:t xml:space="preserve">Интерфейс должен сохранить: идентификатор субъекта, код документа, версию </w:t>
      </w:r>
      <w:r>
        <w:rPr>
          <w:rFonts w:ascii="Courier New" w:hAnsi="Courier New"/>
          <w:sz w:val="18"/>
        </w:rPr>
        <w:t>1.0</w:t>
      </w:r>
      <w:r>
        <w:t>, текст/хеш версии, время, источник, IP/user-agent в минимальном объёме и состояние checkbox. Предустановленный checkbox не допускается. Субъект подтверждает достоверность данных и полномочия на данные третьих лиц.</w:t>
      </w:r>
    </w:p>
    <w:p>
      <w:r>
        <w:t>Геолокация собирается только при явном online-режиме или активной доставке, показывается участникам конкретной доставки и прекращается после её окончания/выхода offline. Отказ от необходимой текущей геолокации может сделать конкретную доставку невозможной, но не разрешает скрытое фоновое наблюдение.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водителя на обработку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