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color w:val="3D2200"/>
          <w:sz w:val="44"/>
        </w:rPr>
        <w:t>04_経理関係</w:t>
      </w:r>
    </w:p>
    <w:p/>
    <w:p>
      <w:pPr>
        <w:pStyle w:val="Heading2"/>
      </w:pPr>
      <w:r>
        <w:rPr>
          <w:color w:val="3D2200"/>
          <w:sz w:val="28"/>
        </w:rPr>
        <w:t>このフォルダの目的</w:t>
      </w:r>
    </w:p>
    <w:p/>
    <w:p>
      <w:r>
        <w:rPr>
          <w:b w:val="0"/>
          <w:color w:val="111827"/>
          <w:sz w:val="20"/>
        </w:rPr>
        <w:t>月次の請求・入金・P&amp;L に加え、</w:t>
      </w:r>
      <w:r>
        <w:rPr>
          <w:b/>
          <w:color w:val="111827"/>
          <w:sz w:val="20"/>
        </w:rPr>
        <w:t>財務全体の管理</w:t>
      </w:r>
      <w:r>
        <w:rPr>
          <w:b w:val="0"/>
          <w:color w:val="111827"/>
          <w:sz w:val="20"/>
        </w:rPr>
        <w:t xml:space="preserve"> を行う資料。料金モデル v2 (全員同一料金) に準拠。</w:t>
      </w:r>
    </w:p>
    <w:p/>
    <w:p>
      <w:pPr>
        <w:pStyle w:val="Heading2"/>
      </w:pPr>
      <w:r>
        <w:rPr>
          <w:color w:val="3D2200"/>
          <w:sz w:val="28"/>
        </w:rPr>
        <w:t>ファイル一覧</w:t>
      </w:r>
    </w:p>
    <w:p/>
    <w:p>
      <w:pPr>
        <w:pStyle w:val="ListBullet"/>
      </w:pPr>
      <w:r>
        <w:rPr>
          <w:b/>
          <w:sz w:val="20"/>
        </w:rPr>
        <w:t>00_README.docx</w:t>
      </w:r>
      <w:r>
        <w:rPr>
          <w:b w:val="0"/>
          <w:sz w:val="20"/>
        </w:rPr>
        <w:t xml:space="preserve"> — このファイル</w:t>
      </w:r>
    </w:p>
    <w:p>
      <w:pPr>
        <w:pStyle w:val="ListBullet"/>
      </w:pPr>
      <w:r>
        <w:rPr>
          <w:b/>
          <w:sz w:val="20"/>
        </w:rPr>
        <w:t>請求・P&amp;L管理.xlsx</w:t>
      </w:r>
      <w:r>
        <w:rPr>
          <w:b w:val="0"/>
          <w:sz w:val="20"/>
        </w:rPr>
        <w:t xml:space="preserve"> — 月次請求台帳 / 入金管理 / 月次P&amp;L / 原価 / 固定費 / 請求フロー (6 シート)</w:t>
      </w:r>
    </w:p>
    <w:p>
      <w:pPr>
        <w:pStyle w:val="ListBullet"/>
      </w:pPr>
      <w:r>
        <w:rPr>
          <w:b/>
          <w:sz w:val="20"/>
        </w:rPr>
        <w:t>キャッシュポイント一覧.docx</w:t>
      </w:r>
      <w:r>
        <w:rPr>
          <w:b w:val="0"/>
          <w:sz w:val="20"/>
        </w:rPr>
        <w:t xml:space="preserve"> — Phase 別の請求タイミングと金額ルール</w:t>
      </w:r>
    </w:p>
    <w:p>
      <w:pPr>
        <w:pStyle w:val="ListBullet"/>
      </w:pPr>
      <w:r>
        <w:rPr>
          <w:b/>
          <w:sz w:val="20"/>
        </w:rPr>
        <w:t>財務・KPI管理.xlsx</w:t>
      </w:r>
      <w:r>
        <w:rPr>
          <w:b w:val="0"/>
          <w:sz w:val="20"/>
        </w:rPr>
        <w:t xml:space="preserve"> — 事業全体の財務・KPI 統合管理表</w:t>
      </w:r>
    </w:p>
    <w:p/>
    <w:p>
      <w:pPr>
        <w:pStyle w:val="Heading2"/>
      </w:pPr>
      <w:r>
        <w:rPr>
          <w:color w:val="3D2200"/>
          <w:sz w:val="28"/>
        </w:rPr>
        <w:t>読む順番</w:t>
      </w:r>
    </w:p>
    <w:p/>
    <w:p>
      <w:pPr>
        <w:pStyle w:val="ListNumber"/>
      </w:pPr>
      <w:r>
        <w:rPr>
          <w:b/>
          <w:sz w:val="20"/>
        </w:rPr>
        <w:t>キャッシュポイント一覧.docx</w:t>
      </w:r>
      <w:r>
        <w:rPr>
          <w:b w:val="0"/>
          <w:sz w:val="20"/>
        </w:rPr>
        <w:t xml:space="preserve"> — 収益の発生タイミングと請求ルール</w:t>
      </w:r>
    </w:p>
    <w:p>
      <w:pPr>
        <w:pStyle w:val="ListNumber"/>
      </w:pPr>
      <w:r>
        <w:rPr>
          <w:b/>
          <w:sz w:val="20"/>
        </w:rPr>
        <w:t>請求・P&amp;L管理.xlsx &gt; ⑥ 請求フロー</w:t>
      </w:r>
      <w:r>
        <w:rPr>
          <w:b w:val="0"/>
          <w:sz w:val="20"/>
        </w:rPr>
        <w:t xml:space="preserve"> — 月次サイクルの作業手順</w:t>
      </w:r>
    </w:p>
    <w:p>
      <w:pPr>
        <w:pStyle w:val="ListNumber"/>
      </w:pPr>
      <w:r>
        <w:rPr>
          <w:b/>
          <w:sz w:val="20"/>
        </w:rPr>
        <w:t>請求・P&amp;L管理.xlsx &gt; ① 月次請求台帳</w:t>
      </w:r>
      <w:r>
        <w:rPr>
          <w:b w:val="0"/>
          <w:sz w:val="20"/>
        </w:rPr>
        <w:t xml:space="preserve"> — 実際の請求を記入</w:t>
      </w:r>
    </w:p>
    <w:p>
      <w:pPr>
        <w:pStyle w:val="ListNumber"/>
      </w:pPr>
      <w:r>
        <w:rPr>
          <w:b/>
          <w:sz w:val="20"/>
        </w:rPr>
        <w:t>財務・KPI管理.xlsx</w:t>
      </w:r>
      <w:r>
        <w:rPr>
          <w:b w:val="0"/>
          <w:sz w:val="20"/>
        </w:rPr>
        <w:t xml:space="preserve"> — 事業全体の数字の把握</w:t>
      </w:r>
    </w:p>
    <w:p/>
    <w:p>
      <w:pPr>
        <w:pStyle w:val="Heading2"/>
      </w:pPr>
      <w:r>
        <w:rPr>
          <w:color w:val="3D2200"/>
          <w:sz w:val="28"/>
        </w:rPr>
        <w:t>月次オペレーション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時期</w:t>
            </w:r>
          </w:p>
        </w:tc>
        <w:tc>
          <w:tcPr>
            <w:tcW w:type="dxa" w:w="288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作業</w:t>
            </w:r>
          </w:p>
        </w:tc>
        <w:tc>
          <w:tcPr>
            <w:tcW w:type="dxa" w:w="288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担当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前月末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次月請求見込みを台帳に記入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月初 3 営業日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請求書作成・送信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経理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月末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入金確認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経理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月末翌日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月次P&amp;L 実績更新 + レポート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PM + 経理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四半期ごと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消費税・法人税納付準備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代表 + 経理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年度末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決算書作成 (外部税理士)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代表</w:t>
            </w:r>
          </w:p>
        </w:tc>
      </w:tr>
    </w:tbl>
    <w:p/>
    <w:p>
      <w:pPr>
        <w:pStyle w:val="Heading2"/>
      </w:pPr>
      <w:r>
        <w:rPr>
          <w:color w:val="3D2200"/>
          <w:sz w:val="28"/>
        </w:rPr>
        <w:t>Phase 別 売上構成 (料金モデル v2)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288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主な収益源</w:t>
            </w:r>
          </w:p>
        </w:tc>
        <w:tc>
          <w:tcPr>
            <w:tcW w:type="dxa" w:w="2880"/>
            <w:shd w:val="clear" w:color="auto" w:fill="3D2200"/>
          </w:tcPr>
          <w:p>
            <w:r/>
            <w:r>
              <w:rPr>
                <w:b/>
                <w:color w:val="FFFFFF"/>
                <w:sz w:val="18"/>
              </w:rPr>
              <w:t>月次売上想定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見学会予約 ¥50,000/件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¥500,000〜¥750,000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P1 + 撮影プラン ¥150,000/本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¥1,150,000〜¥1,550,000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P2 + 月額掲載 + 成果報酬 3%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¥2,940,000〜¥4,640,000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P3 + SaaS ライト/プロ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¥5,950,000〜¥7,940,000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全継続 + 全国展開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¥8,500,000〜¥9,960,000</w:t>
            </w:r>
          </w:p>
        </w:tc>
      </w:tr>
    </w:tbl>
    <w:p/>
    <w:p>
      <w:r>
        <w:rPr>
          <w:b/>
          <w:color w:val="111827"/>
          <w:sz w:val="20"/>
        </w:rPr>
        <w:t>年間合計想定 (保守的): ¥54,540,000</w:t>
      </w:r>
    </w:p>
    <w:p/>
    <w:p>
      <w:pPr>
        <w:pStyle w:val="Heading2"/>
      </w:pPr>
      <w:r>
        <w:rPr>
          <w:color w:val="3D2200"/>
          <w:sz w:val="28"/>
        </w:rPr>
        <w:t>重要な前提</w:t>
      </w:r>
    </w:p>
    <w:p/>
    <w:p>
      <w:pPr>
        <w:pStyle w:val="ListBullet"/>
      </w:pPr>
      <w:r>
        <w:rPr>
          <w:b/>
          <w:sz w:val="20"/>
        </w:rPr>
        <w:t>全員同一料金</w:t>
      </w:r>
      <w:r>
        <w:rPr>
          <w:b w:val="0"/>
          <w:sz w:val="20"/>
        </w:rPr>
        <w:t>。既存 10 社と新規で料金差はなし</w:t>
      </w:r>
    </w:p>
    <w:p>
      <w:pPr>
        <w:pStyle w:val="ListBullet"/>
      </w:pPr>
      <w:r>
        <w:rPr>
          <w:b/>
          <w:sz w:val="20"/>
        </w:rPr>
        <w:t>成果報酬 3% は Phase 3 から</w:t>
      </w:r>
      <w:r>
        <w:rPr>
          <w:b w:val="0"/>
          <w:sz w:val="20"/>
        </w:rPr>
        <w:t>。無料相談 / AI 診断 / 会員登録済みユーザー経由の成約のみ対象</w:t>
      </w:r>
    </w:p>
    <w:p>
      <w:pPr>
        <w:pStyle w:val="ListBullet"/>
      </w:pPr>
      <w:r>
        <w:rPr>
          <w:b/>
          <w:sz w:val="20"/>
        </w:rPr>
        <w:t>非会員の直接問合せ成約</w:t>
      </w:r>
      <w:r>
        <w:rPr>
          <w:b w:val="0"/>
          <w:sz w:val="20"/>
        </w:rPr>
        <w:t xml:space="preserve"> は成果報酬対象外</w:t>
      </w:r>
    </w:p>
    <w:p>
      <w:pPr>
        <w:pStyle w:val="ListBullet"/>
      </w:pPr>
      <w:r>
        <w:rPr>
          <w:b w:val="0"/>
          <w:sz w:val="20"/>
        </w:rPr>
        <w:t>料金優遇概念は廃止済み。10 社への差別化は AI 診断の優先送客のみ</w:t>
      </w:r>
    </w:p>
    <w:p/>
    <w:p>
      <w:pPr>
        <w:pStyle w:val="Heading2"/>
      </w:pPr>
      <w:r>
        <w:rPr>
          <w:color w:val="3D2200"/>
          <w:sz w:val="28"/>
        </w:rPr>
        <w:t>会計ツール</w:t>
      </w:r>
    </w:p>
    <w:p/>
    <w:p>
      <w:pPr>
        <w:pStyle w:val="ListBullet"/>
      </w:pPr>
      <w:r>
        <w:rPr>
          <w:b/>
          <w:sz w:val="20"/>
        </w:rPr>
        <w:t>会計ソフト</w:t>
      </w:r>
      <w:r>
        <w:rPr>
          <w:b w:val="0"/>
          <w:sz w:val="20"/>
        </w:rPr>
        <w:t>: freee</w:t>
      </w:r>
    </w:p>
    <w:p>
      <w:pPr>
        <w:pStyle w:val="ListBullet"/>
      </w:pPr>
      <w:r>
        <w:rPr>
          <w:b/>
          <w:sz w:val="20"/>
        </w:rPr>
        <w:t>請求書作成</w:t>
      </w:r>
      <w:r>
        <w:rPr>
          <w:b w:val="0"/>
          <w:sz w:val="20"/>
        </w:rPr>
        <w:t>: freee の請求機能</w:t>
      </w:r>
    </w:p>
    <w:p>
      <w:pPr>
        <w:pStyle w:val="ListBullet"/>
      </w:pPr>
      <w:r>
        <w:rPr>
          <w:b/>
          <w:sz w:val="20"/>
        </w:rPr>
        <w:t>入金確認</w:t>
      </w:r>
      <w:r>
        <w:rPr>
          <w:b w:val="0"/>
          <w:sz w:val="20"/>
        </w:rPr>
        <w:t>: ネットバンキング自動取込</w:t>
      </w:r>
    </w:p>
    <w:p>
      <w:pPr>
        <w:pStyle w:val="ListBullet"/>
      </w:pPr>
      <w:r>
        <w:rPr>
          <w:b/>
          <w:sz w:val="20"/>
        </w:rPr>
        <w:t>Phase 4 以降</w:t>
      </w:r>
      <w:r>
        <w:rPr>
          <w:b w:val="0"/>
          <w:sz w:val="20"/>
        </w:rPr>
        <w:t>: Stripe サブスク + 自動引き落とし</w:t>
      </w:r>
    </w:p>
    <w:p/>
    <w:p>
      <w:pPr>
        <w:pStyle w:val="Heading2"/>
      </w:pPr>
      <w:r>
        <w:rPr>
          <w:color w:val="3D2200"/>
          <w:sz w:val="28"/>
        </w:rPr>
        <w:t>経理担当へのリマインド</w:t>
      </w:r>
    </w:p>
    <w:p/>
    <w:p>
      <w:pPr>
        <w:pStyle w:val="ListBullet"/>
      </w:pPr>
      <w:r>
        <w:rPr>
          <w:b w:val="0"/>
          <w:sz w:val="20"/>
        </w:rPr>
        <w:t>請求書発行後は必ず入金管理シートに反映</w:t>
      </w:r>
    </w:p>
    <w:p>
      <w:pPr>
        <w:pStyle w:val="ListBullet"/>
      </w:pPr>
      <w:r>
        <w:rPr>
          <w:b w:val="0"/>
          <w:sz w:val="20"/>
        </w:rPr>
        <w:t>未入金が 30 日を超える場合は PM にエスカレーション</w:t>
      </w:r>
    </w:p>
    <w:p>
      <w:pPr>
        <w:pStyle w:val="ListBullet"/>
      </w:pPr>
      <w:r>
        <w:rPr>
          <w:b w:val="0"/>
          <w:sz w:val="20"/>
        </w:rPr>
        <w:t>四半期決算時は消費税申告を忘れずに</w:t>
      </w:r>
    </w:p>
    <w:p>
      <w:pPr>
        <w:pStyle w:val="ListBullet"/>
      </w:pPr>
      <w:r>
        <w:rPr>
          <w:b w:val="0"/>
          <w:sz w:val="20"/>
        </w:rPr>
        <w:t>成果報酬は `lead_source` での対象判定を経理側で確認する (工務店の成約報告を鵜呑みにしない)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