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Modelling Malware Concept Drift Using Neural ODEs</w:t>
      </w:r>
    </w:p>
    <w:p>
      <w:pPr>
        <w:jc w:val="center"/>
      </w:pPr>
      <w:r>
        <w:rPr>
          <w:b/>
        </w:rPr>
        <w:t>Rinkle Jain¹, Rohan Pendharkar¹, Rakshit Waze¹, Neha Kewalramani¹</w:t>
      </w:r>
    </w:p>
    <w:p>
      <w:pPr>
        <w:jc w:val="center"/>
      </w:pPr>
      <w:r>
        <w:rPr>
          <w:i/>
        </w:rPr>
        <w:t>¹Department of Electronics Engineering, Ramdeobaba University, Nagpur, India</w:t>
        <w:br/>
        <w:t>Deep Learning Lab  |  Semester V  |  Academic Session 2026–27</w:t>
      </w:r>
    </w:p>
    <w:p>
      <w:pPr>
        <w:jc w:val="center"/>
      </w:pPr>
      <w:r>
        <w:rPr>
          <w:sz w:val="16"/>
        </w:rPr>
        <w:t>Correspondence: student email addresses were not supplied</w:t>
      </w:r>
    </w:p>
    <w:p>
      <w:pPr>
        <w:pStyle w:val="Heading1"/>
        <w:keepNext/>
      </w:pPr>
      <w:r>
        <w:t>Abstract</w:t>
      </w:r>
    </w:p>
    <w:p>
      <w:r>
        <w:t>Machine-learning malware detectors are commonly evaluated under static or randomly shuffled data splits, even though the malware ecosystem changes over time. Such evaluation can obscure temporal performance decay and overstate deployment readiness. This project proposes a latent Neural Ordinary Differential Equation (Neural ODE) framework to model the temporal evolution of Portable Executable (PE) malware features. The study uses the Blue Hexagon Open Dataset for Malware Analysis (BODMAS), which contains 134,435 labelled samples collected over 14 months from August 2019 through September 2020, represented by 2,381-dimensional numeric feature vectors. A neural encoder maps each vector to a 64-dimensional latent state. A learned continuous-time vector field evolves that state, and a decoder predicts benign or malicious class. Training is planned with focal loss, Adam optimization, and adjoint sensitivity; evaluation uses month-wise chronological partitions to prevent future-to-past leakage. The model will be compared with XGBoost, LightGBM, and a parameter-matched multilayer perceptron using monthly AUROC, macro F1-score, and Area Under Time (AUT). The expected contribution is a reproducible assessment of whether continuous latent dynamics improve resilience to temporal drift relative to static decision boundaries. Because implementation and experiments are still planned, this report specifies hypotheses and evaluation criteria rather than claiming measured gains. It also identifies limitations, including the short 14-month observation window, possible label and collection bias, solver cost, and the fact that smooth dynamics may not capture abrupt distribution changes without a jump mechanism.</w:t>
      </w:r>
    </w:p>
    <w:p>
      <w:r>
        <w:rPr>
          <w:b/>
        </w:rPr>
        <w:t xml:space="preserve">Keywords— </w:t>
      </w:r>
      <w:r>
        <w:t>malware detection, concept drift, Neural ODE, BODMAS, temporal evaluation, AUROC</w:t>
      </w:r>
    </w:p>
    <w:p>
      <w:pPr>
        <w:pStyle w:val="Heading1"/>
        <w:keepNext/>
      </w:pPr>
      <w:r>
        <w:t>I. Introduction</w:t>
      </w:r>
    </w:p>
    <w:p>
      <w:r>
        <w:t>Malware classifiers learn statistical patterns from executable features, but attackers alter code, packers, imports, and delivery strategies. Consequently, the relationship between features and maliciousness can change after deployment. A random split may place near-duplicate or later samples in both training and testing, masking this effect. Pendlebury et al. formalized spatial and temporal sources of bias in malware evaluation and proposed chronological constraints and the Area Under Time metric [1]. Their findings motivate reporting performance across future time periods rather than a single shuffled-test score.</w:t>
      </w:r>
    </w:p>
    <w:p>
      <w:r>
        <w:t>Public PE datasets enable controlled comparisons but serve different purposes. EMBER provides a large static benchmark [2], whereas BODMAS was designed to support temporal analysis and includes timestamped samples and family information [3]. The present project selects BODMAS because its 14-month timeline aligns with the study of temporal change. BODMAS is imbalanced, with 57,293 malware and 77,142 benign records, so metrics and loss functions must account for class prevalence.</w:t>
      </w:r>
    </w:p>
    <w:p>
      <w:r>
        <w:t>The proposed model draws on continuous-depth learning. Chen et al. introduced Neural ODEs, in which a neural network parameterizes the derivative of a hidden state and a numerical solver computes its evolution [4]. The adjoint sensitivity method reduces memory requirements during backpropagation, though solver evaluations can increase computation. Latent ODEs extend this approach to irregularly sampled observations and arbitrary time gaps [5]. Neural Jump ODEs add discrete updates when observations arrive, addressing discontinuities that a smooth ODE alone may miss [6]. Neural controlled differential equations offer another continuous-time formulation for irregular sequences [7]. These methods support the modeling choice, but their success on time-series tasks does not establish that they outperform tree ensembles on malware data; that is an empirical question.</w:t>
      </w:r>
    </w:p>
    <w:p>
      <w:r>
        <w:t>Research on malware detection also highlights adversarial evasion and drift adaptation. Grosse et al. demonstrated adversarial manipulation of Android malware classifiers [8], while Anderson and Roth established a strong LightGBM baseline for static PE features in EMBER [2]. MORPH explores pseudo-label-based adaptation for malware drift [9], representing an alternative strategy based on updating from new samples. Broader concept-drift literature distinguishes abrupt, gradual, incremental, and recurring changes [10]. This taxonomy matters because a smooth latent vector field may represent gradual change but can lag abrupt events. The proposed jump-update mechanism is therefore retained as a stretch goal, not assumed in the core experiment.</w:t>
      </w:r>
    </w:p>
    <w:p>
      <w:r>
        <w:t>The implementation will compare against gradient-boosted trees and a multilayer perceptron (MLP), with every model using the same chronological partitions. Focal loss was developed to reduce the influence of easy examples in imbalanced classification [11]. Adam provides an adaptive stochastic optimization method [12]. XGBoost and LightGBM are included because they are established gradient-boosting implementations [13], [14]. An ablation removing ODE integration will help isolate the effect of continuous dynamics. A useful future extension is to evaluate stronger temporal modeling alternatives, including continuous-depth recurrent models [15].</w:t>
      </w:r>
    </w:p>
    <w:p>
      <w:pPr>
        <w:pStyle w:val="Heading2"/>
        <w:keepNext/>
      </w:pPr>
      <w:r>
        <w:t>Proposed Solution</w:t>
      </w:r>
    </w:p>
    <w:p>
      <w:r>
        <w:t>We will encode each timestamped PE feature vector into a compact latent state, evolve that state with a learned Neural ODE over normalized time, and decode it into a benign/malicious probability. A strict month-wise evaluation will test whether this continuous representation retains predictive performance on later months better than static baselines.</w:t>
      </w:r>
    </w:p>
    <w:p>
      <w:pPr>
        <w:pStyle w:val="Heading1"/>
        <w:keepNext/>
      </w:pPr>
      <w:r>
        <w:t>II. System Architecture</w:t>
      </w:r>
    </w:p>
    <w:p>
      <w:r>
        <w:t>The pipeline begins with timestamp validation and feature preprocessing. The encoder maps the 2,381-dimensional input x to latent state z(t₀) ∈ R⁶⁴. The Neural ODE defines dz/dt = fθ(z,t), and a numerical solver integrates the state to the requested evaluation time. A decoder maps the evolved state to a two-class probability. Training uses the adjoint method and focal loss; inference produces class probabilities and per-month scores.</w:t>
      </w:r>
    </w:p>
    <w:p>
      <w:pPr>
        <w:jc w:val="center"/>
      </w:pPr>
      <w:r>
        <w:drawing>
          <wp:inline xmlns:a="http://schemas.openxmlformats.org/drawingml/2006/main" xmlns:pic="http://schemas.openxmlformats.org/drawingml/2006/picture">
            <wp:extent cx="6126480" cy="13784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1378458"/>
                    </a:xfrm>
                    <a:prstGeom prst="rect"/>
                  </pic:spPr>
                </pic:pic>
              </a:graphicData>
            </a:graphic>
          </wp:inline>
        </w:drawing>
      </w:r>
    </w:p>
    <w:p>
      <w:pPr>
        <w:jc w:val="center"/>
      </w:pPr>
      <w:r>
        <w:rPr>
          <w:i/>
          <w:sz w:val="16"/>
        </w:rPr>
        <w:t>Fig. 1. Proposed latent Neural ODE architecture and evaluation path.</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r>
              <w:rPr>
                <w:b/>
              </w:rPr>
              <w:t>Component</w:t>
            </w:r>
          </w:p>
        </w:tc>
        <w:tc>
          <w:tcPr>
            <w:tcW w:type="dxa" w:w="4997"/>
            <w:vAlign w:val="center"/>
          </w:tcPr>
          <w:p>
            <w:r>
              <w:rPr>
                <w:b/>
              </w:rPr>
              <w:t>Role / specification</w:t>
            </w:r>
          </w:p>
        </w:tc>
      </w:tr>
      <w:tr>
        <w:tc>
          <w:tcPr>
            <w:tcW w:type="dxa" w:w="4997"/>
            <w:vAlign w:val="center"/>
          </w:tcPr>
          <w:p>
            <w:r>
              <w:t>Input</w:t>
            </w:r>
          </w:p>
        </w:tc>
        <w:tc>
          <w:tcPr>
            <w:tcW w:type="dxa" w:w="4997"/>
            <w:vAlign w:val="center"/>
          </w:tcPr>
          <w:p>
            <w:r>
              <w:t>BODMAS PE feature vector (2,381 numeric features) with sample timestamp and binary label.</w:t>
            </w:r>
          </w:p>
        </w:tc>
      </w:tr>
      <w:tr>
        <w:tc>
          <w:tcPr>
            <w:tcW w:type="dxa" w:w="4997"/>
            <w:vAlign w:val="center"/>
          </w:tcPr>
          <w:p>
            <w:r>
              <w:t>Preprocessing</w:t>
            </w:r>
          </w:p>
        </w:tc>
        <w:tc>
          <w:tcPr>
            <w:tcW w:type="dxa" w:w="4997"/>
            <w:vAlign w:val="center"/>
          </w:tcPr>
          <w:p>
            <w:r>
              <w:t>Missing-value handling and scaling fitted only on the training months; preserve timestamp for temporal splits.</w:t>
            </w:r>
          </w:p>
        </w:tc>
      </w:tr>
      <w:tr>
        <w:tc>
          <w:tcPr>
            <w:tcW w:type="dxa" w:w="4997"/>
            <w:vAlign w:val="center"/>
          </w:tcPr>
          <w:p>
            <w:r>
              <w:t>Encoder</w:t>
            </w:r>
          </w:p>
        </w:tc>
        <w:tc>
          <w:tcPr>
            <w:tcW w:type="dxa" w:w="4997"/>
            <w:vAlign w:val="center"/>
          </w:tcPr>
          <w:p>
            <w:r>
              <w:t>MLP maps input features to a 64-dimensional latent state.</w:t>
            </w:r>
          </w:p>
        </w:tc>
      </w:tr>
      <w:tr>
        <w:tc>
          <w:tcPr>
            <w:tcW w:type="dxa" w:w="4997"/>
            <w:vAlign w:val="center"/>
          </w:tcPr>
          <w:p>
            <w:r>
              <w:t>Dynamics</w:t>
            </w:r>
          </w:p>
        </w:tc>
        <w:tc>
          <w:tcPr>
            <w:tcW w:type="dxa" w:w="4997"/>
            <w:vAlign w:val="center"/>
          </w:tcPr>
          <w:p>
            <w:r>
              <w:t>Neural vector field fθ(z,t); dopri5 / Dormand–Prince integration proposed.</w:t>
            </w:r>
          </w:p>
        </w:tc>
      </w:tr>
      <w:tr>
        <w:tc>
          <w:tcPr>
            <w:tcW w:type="dxa" w:w="4997"/>
            <w:vAlign w:val="center"/>
          </w:tcPr>
          <w:p>
            <w:r>
              <w:t>Decoder</w:t>
            </w:r>
          </w:p>
        </w:tc>
        <w:tc>
          <w:tcPr>
            <w:tcW w:type="dxa" w:w="4997"/>
            <w:vAlign w:val="center"/>
          </w:tcPr>
          <w:p>
            <w:r>
              <w:t>MLP outputs benign and malicious logits / probabilities.</w:t>
            </w:r>
          </w:p>
        </w:tc>
      </w:tr>
      <w:tr>
        <w:tc>
          <w:tcPr>
            <w:tcW w:type="dxa" w:w="4997"/>
            <w:vAlign w:val="center"/>
          </w:tcPr>
          <w:p>
            <w:r>
              <w:t>Training</w:t>
            </w:r>
          </w:p>
        </w:tc>
        <w:tc>
          <w:tcPr>
            <w:tcW w:type="dxa" w:w="4997"/>
            <w:vAlign w:val="center"/>
          </w:tcPr>
          <w:p>
            <w:r>
              <w:t>Focal loss, Adam optimizer, adjoint sensitivity; monitor solver steps and stability.</w:t>
            </w:r>
          </w:p>
        </w:tc>
      </w:tr>
      <w:tr>
        <w:tc>
          <w:tcPr>
            <w:tcW w:type="dxa" w:w="4997"/>
            <w:vAlign w:val="center"/>
          </w:tcPr>
          <w:p>
            <w:r>
              <w:t>Compute environment</w:t>
            </w:r>
          </w:p>
        </w:tc>
        <w:tc>
          <w:tcPr>
            <w:tcW w:type="dxa" w:w="4997"/>
            <w:vAlign w:val="center"/>
          </w:tcPr>
          <w:p>
            <w:r>
              <w:t>Software implementation can use a CPU for small runs or a single GPU for practical training. Exact device and memory depend on available hardware; no hardware results are claimed.</w:t>
            </w:r>
          </w:p>
        </w:tc>
      </w:tr>
    </w:tbl>
    <w:p>
      <w:pPr>
        <w:pStyle w:val="Heading1"/>
        <w:keepNext/>
      </w:pPr>
      <w:r>
        <w:t>III. Methodology</w:t>
      </w:r>
    </w:p>
    <w:p>
      <w:pPr>
        <w:pStyle w:val="Heading2"/>
        <w:keepNext/>
      </w:pPr>
      <w:r>
        <w:t>A. Dataset and Temporal Split</w:t>
      </w:r>
    </w:p>
    <w:p>
      <w:r>
        <w:t>BODMAS contains 134,435 examples collected from August 2019 to September 2020, with 57,293 malware and 77,142 benign samples [3]. Each sample has 2,381 numeric features named F1 through F2381. Samples are split chronologically using the supplied UTC timestamp boundaries: training from 2019-08-01 through 2020-03-31 23:59:59 UTC, validation from 2020-04-01 through 2020-05-31 23:59:59 UTC, and testing from 2020-06-01 through 2020-09-30 23:59:59 UTC. The label values 0.0 and 1.0 are cast to integers. Preprocessing parameters must be fit on training data only.</w:t>
      </w:r>
    </w:p>
    <w:p>
      <w:pPr>
        <w:pStyle w:val="Heading2"/>
        <w:keepNext/>
      </w:pPr>
      <w:r>
        <w:t>B. Model and Objective</w:t>
      </w:r>
    </w:p>
    <w:p>
      <w:r>
        <w:t>Let xᵢ be a feature vector observed at time tᵢ. The encoder produces zᵢ(tᵢ)=Eφ(xᵢ). The latent state is evolved as dz/dt=fθ(z,t), with z(tⱼ)=ODESolve(fθ,z(tᵢ),tᵢ,tⱼ). The decoder returns class logits gψ(z(tⱼ)); the model is optimized with focal loss to reduce domination by easy examples in the imbalanced dataset. Adam updates encoder, vector-field, and decoder parameters. The adjoint sensitivity method is planned to limit memory use when differentiating through the solver.</w:t>
      </w:r>
    </w:p>
    <w:p>
      <w:pPr>
        <w:pStyle w:val="Heading2"/>
        <w:keepNext/>
      </w:pPr>
      <w:r>
        <w:t>C. Baselines and Evaluation</w:t>
      </w:r>
    </w:p>
    <w:p>
      <w:r>
        <w:t>The supplied implementation configuration uses scikit-learn HistGradientBoostingClassifier(max_iter=200, max_depth=6, learning_rate=0.1, random_state=42) as the current executable reference model. This tree-based classifier is distinct from the proposed Latent Neural ODE, which remains the research model to implement and compare. The project proposal also names XGBoost, LightGBM, and a parameter-matched MLP as additional comparison models. For binary F1, malware is the positive class and the average is binary. Select the classification threshold on validation data by maximizing F1, then freeze it for test evaluation. Compute AUROC per held-out month and AUT using the documented TESSERACT convention [1]. An ablation replacing ODE integration with direct latent classification can help isolate the contribution of continuous dynamics.</w:t>
      </w:r>
    </w:p>
    <w:p>
      <w:pPr>
        <w:pStyle w:val="Heading2"/>
      </w:pPr>
      <w:r>
        <w:t>Implementation Configuration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pPr>
              <w:spacing w:after="0"/>
            </w:pPr>
            <w:r>
              <w:rPr>
                <w:b/>
                <w:sz w:val="16"/>
              </w:rPr>
              <w:t>Parameter</w:t>
            </w:r>
          </w:p>
        </w:tc>
        <w:tc>
          <w:tcPr>
            <w:tcW w:type="dxa" w:w="3331"/>
          </w:tcPr>
          <w:p>
            <w:pPr>
              <w:spacing w:after="0"/>
            </w:pPr>
            <w:r>
              <w:rPr>
                <w:b/>
                <w:sz w:val="16"/>
              </w:rPr>
              <w:t>Value</w:t>
            </w:r>
          </w:p>
        </w:tc>
        <w:tc>
          <w:tcPr>
            <w:tcW w:type="dxa" w:w="3331"/>
          </w:tcPr>
          <w:p>
            <w:pPr>
              <w:spacing w:after="0"/>
            </w:pPr>
            <w:r>
              <w:rPr>
                <w:b/>
                <w:sz w:val="16"/>
              </w:rPr>
              <w:t>Source</w:t>
            </w:r>
          </w:p>
        </w:tc>
      </w:tr>
      <w:tr>
        <w:tc>
          <w:tcPr>
            <w:tcW w:type="dxa" w:w="3331"/>
          </w:tcPr>
          <w:p>
            <w:pPr>
              <w:spacing w:after="0"/>
            </w:pPr>
            <w:r>
              <w:rPr>
                <w:sz w:val="16"/>
              </w:rPr>
              <w:t>Clean parquet path</w:t>
            </w:r>
          </w:p>
        </w:tc>
        <w:tc>
          <w:tcPr>
            <w:tcW w:type="dxa" w:w="3331"/>
          </w:tcPr>
          <w:p>
            <w:pPr>
              <w:spacing w:after="0"/>
            </w:pPr>
            <w:r>
              <w:rPr>
                <w:sz w:val="16"/>
              </w:rPr>
              <w:t>/content/drive/MyDrive/dataset-capstone/bodmas_clean_features.parquet</w:t>
            </w:r>
          </w:p>
        </w:tc>
        <w:tc>
          <w:tcPr>
            <w:tcW w:type="dxa" w:w="3331"/>
          </w:tcPr>
          <w:p>
            <w:pPr>
              <w:spacing w:after="0"/>
            </w:pPr>
            <w:r>
              <w:rPr>
                <w:sz w:val="16"/>
              </w:rPr>
              <w:t>User-provided</w:t>
            </w:r>
          </w:p>
        </w:tc>
      </w:tr>
      <w:tr>
        <w:tc>
          <w:tcPr>
            <w:tcW w:type="dxa" w:w="3331"/>
          </w:tcPr>
          <w:p>
            <w:pPr>
              <w:spacing w:after="0"/>
            </w:pPr>
            <w:r>
              <w:rPr>
                <w:sz w:val="16"/>
              </w:rPr>
              <w:t>Raw parquet path</w:t>
            </w:r>
          </w:p>
        </w:tc>
        <w:tc>
          <w:tcPr>
            <w:tcW w:type="dxa" w:w="3331"/>
          </w:tcPr>
          <w:p>
            <w:pPr>
              <w:spacing w:after="0"/>
            </w:pPr>
            <w:r>
              <w:rPr>
                <w:sz w:val="16"/>
              </w:rPr>
              <w:t>/content/drive/MyDrive/dataset-capstone/bodmas-timestamps.parquet</w:t>
            </w:r>
          </w:p>
        </w:tc>
        <w:tc>
          <w:tcPr>
            <w:tcW w:type="dxa" w:w="3331"/>
          </w:tcPr>
          <w:p>
            <w:pPr>
              <w:spacing w:after="0"/>
            </w:pPr>
            <w:r>
              <w:rPr>
                <w:sz w:val="16"/>
              </w:rPr>
              <w:t>User-provided</w:t>
            </w:r>
          </w:p>
        </w:tc>
      </w:tr>
      <w:tr>
        <w:tc>
          <w:tcPr>
            <w:tcW w:type="dxa" w:w="3331"/>
          </w:tcPr>
          <w:p>
            <w:pPr>
              <w:spacing w:after="0"/>
            </w:pPr>
            <w:r>
              <w:rPr>
                <w:sz w:val="16"/>
              </w:rPr>
              <w:t>Feature columns</w:t>
            </w:r>
          </w:p>
        </w:tc>
        <w:tc>
          <w:tcPr>
            <w:tcW w:type="dxa" w:w="3331"/>
          </w:tcPr>
          <w:p>
            <w:pPr>
              <w:spacing w:after="0"/>
            </w:pPr>
            <w:r>
              <w:rPr>
                <w:sz w:val="16"/>
              </w:rPr>
              <w:t>F1 through F2381</w:t>
            </w:r>
          </w:p>
        </w:tc>
        <w:tc>
          <w:tcPr>
            <w:tcW w:type="dxa" w:w="3331"/>
          </w:tcPr>
          <w:p>
            <w:pPr>
              <w:spacing w:after="0"/>
            </w:pPr>
            <w:r>
              <w:rPr>
                <w:sz w:val="16"/>
              </w:rPr>
              <w:t>Confirmed</w:t>
            </w:r>
          </w:p>
        </w:tc>
      </w:tr>
      <w:tr>
        <w:tc>
          <w:tcPr>
            <w:tcW w:type="dxa" w:w="3331"/>
          </w:tcPr>
          <w:p>
            <w:pPr>
              <w:spacing w:after="0"/>
            </w:pPr>
            <w:r>
              <w:rPr>
                <w:sz w:val="16"/>
              </w:rPr>
              <w:t>Label dtype</w:t>
            </w:r>
          </w:p>
        </w:tc>
        <w:tc>
          <w:tcPr>
            <w:tcW w:type="dxa" w:w="3331"/>
          </w:tcPr>
          <w:p>
            <w:pPr>
              <w:spacing w:after="0"/>
            </w:pPr>
            <w:r>
              <w:rPr>
                <w:sz w:val="16"/>
              </w:rPr>
              <w:t>0.0 / 1.0 cast to integer</w:t>
            </w:r>
          </w:p>
        </w:tc>
        <w:tc>
          <w:tcPr>
            <w:tcW w:type="dxa" w:w="3331"/>
          </w:tcPr>
          <w:p>
            <w:pPr>
              <w:spacing w:after="0"/>
            </w:pPr>
            <w:r>
              <w:rPr>
                <w:sz w:val="16"/>
              </w:rPr>
              <w:t>Confirmed</w:t>
            </w:r>
          </w:p>
        </w:tc>
      </w:tr>
      <w:tr>
        <w:tc>
          <w:tcPr>
            <w:tcW w:type="dxa" w:w="3331"/>
          </w:tcPr>
          <w:p>
            <w:pPr>
              <w:spacing w:after="0"/>
            </w:pPr>
            <w:r>
              <w:rPr>
                <w:sz w:val="16"/>
              </w:rPr>
              <w:t>Timestamp</w:t>
            </w:r>
          </w:p>
        </w:tc>
        <w:tc>
          <w:tcPr>
            <w:tcW w:type="dxa" w:w="3331"/>
          </w:tcPr>
          <w:p>
            <w:pPr>
              <w:spacing w:after="0"/>
            </w:pPr>
            <w:r>
              <w:rPr>
                <w:sz w:val="16"/>
              </w:rPr>
              <w:t>Timezone-aware UTC datetime</w:t>
            </w:r>
          </w:p>
        </w:tc>
        <w:tc>
          <w:tcPr>
            <w:tcW w:type="dxa" w:w="3331"/>
          </w:tcPr>
          <w:p>
            <w:pPr>
              <w:spacing w:after="0"/>
            </w:pPr>
            <w:r>
              <w:rPr>
                <w:sz w:val="16"/>
              </w:rPr>
              <w:t>Confirmed</w:t>
            </w:r>
          </w:p>
        </w:tc>
      </w:tr>
      <w:tr>
        <w:tc>
          <w:tcPr>
            <w:tcW w:type="dxa" w:w="3331"/>
          </w:tcPr>
          <w:p>
            <w:pPr>
              <w:spacing w:after="0"/>
            </w:pPr>
            <w:r>
              <w:rPr>
                <w:sz w:val="16"/>
              </w:rPr>
              <w:t>Training split</w:t>
            </w:r>
          </w:p>
        </w:tc>
        <w:tc>
          <w:tcPr>
            <w:tcW w:type="dxa" w:w="3331"/>
          </w:tcPr>
          <w:p>
            <w:pPr>
              <w:spacing w:after="0"/>
            </w:pPr>
            <w:r>
              <w:rPr>
                <w:sz w:val="16"/>
              </w:rPr>
              <w:t>2019-08-01 to 2020-03-31 23:59:59 UTC</w:t>
            </w:r>
          </w:p>
        </w:tc>
        <w:tc>
          <w:tcPr>
            <w:tcW w:type="dxa" w:w="3331"/>
          </w:tcPr>
          <w:p>
            <w:pPr>
              <w:spacing w:after="0"/>
            </w:pPr>
            <w:r>
              <w:rPr>
                <w:sz w:val="16"/>
              </w:rPr>
              <w:t>Supplied code</w:t>
            </w:r>
          </w:p>
        </w:tc>
      </w:tr>
      <w:tr>
        <w:tc>
          <w:tcPr>
            <w:tcW w:type="dxa" w:w="3331"/>
          </w:tcPr>
          <w:p>
            <w:pPr>
              <w:spacing w:after="0"/>
            </w:pPr>
            <w:r>
              <w:rPr>
                <w:sz w:val="16"/>
              </w:rPr>
              <w:t>Validation split</w:t>
            </w:r>
          </w:p>
        </w:tc>
        <w:tc>
          <w:tcPr>
            <w:tcW w:type="dxa" w:w="3331"/>
          </w:tcPr>
          <w:p>
            <w:pPr>
              <w:spacing w:after="0"/>
            </w:pPr>
            <w:r>
              <w:rPr>
                <w:sz w:val="16"/>
              </w:rPr>
              <w:t>2020-04-01 to 2020-05-31 23:59:59 UTC</w:t>
            </w:r>
          </w:p>
        </w:tc>
        <w:tc>
          <w:tcPr>
            <w:tcW w:type="dxa" w:w="3331"/>
          </w:tcPr>
          <w:p>
            <w:pPr>
              <w:spacing w:after="0"/>
            </w:pPr>
            <w:r>
              <w:rPr>
                <w:sz w:val="16"/>
              </w:rPr>
              <w:t>Supplied code</w:t>
            </w:r>
          </w:p>
        </w:tc>
      </w:tr>
      <w:tr>
        <w:tc>
          <w:tcPr>
            <w:tcW w:type="dxa" w:w="3331"/>
          </w:tcPr>
          <w:p>
            <w:pPr>
              <w:spacing w:after="0"/>
            </w:pPr>
            <w:r>
              <w:rPr>
                <w:sz w:val="16"/>
              </w:rPr>
              <w:t>Test split</w:t>
            </w:r>
          </w:p>
        </w:tc>
        <w:tc>
          <w:tcPr>
            <w:tcW w:type="dxa" w:w="3331"/>
          </w:tcPr>
          <w:p>
            <w:pPr>
              <w:spacing w:after="0"/>
            </w:pPr>
            <w:r>
              <w:rPr>
                <w:sz w:val="16"/>
              </w:rPr>
              <w:t>2020-06-01 to 2020-09-30 23:59:59 UTC</w:t>
            </w:r>
          </w:p>
        </w:tc>
        <w:tc>
          <w:tcPr>
            <w:tcW w:type="dxa" w:w="3331"/>
          </w:tcPr>
          <w:p>
            <w:pPr>
              <w:spacing w:after="0"/>
            </w:pPr>
            <w:r>
              <w:rPr>
                <w:sz w:val="16"/>
              </w:rPr>
              <w:t>Supplied code</w:t>
            </w:r>
          </w:p>
        </w:tc>
      </w:tr>
      <w:tr>
        <w:tc>
          <w:tcPr>
            <w:tcW w:type="dxa" w:w="3331"/>
          </w:tcPr>
          <w:p>
            <w:pPr>
              <w:spacing w:after="0"/>
            </w:pPr>
            <w:r>
              <w:rPr>
                <w:sz w:val="16"/>
              </w:rPr>
              <w:t>Classifier</w:t>
            </w:r>
          </w:p>
        </w:tc>
        <w:tc>
          <w:tcPr>
            <w:tcW w:type="dxa" w:w="3331"/>
          </w:tcPr>
          <w:p>
            <w:pPr>
              <w:spacing w:after="0"/>
            </w:pPr>
            <w:r>
              <w:rPr>
                <w:sz w:val="16"/>
              </w:rPr>
              <w:t>HistGradientBoostingClassifier(max_iter=200, max_depth=6, learning_rate=0.1, random_state=42)</w:t>
            </w:r>
          </w:p>
        </w:tc>
        <w:tc>
          <w:tcPr>
            <w:tcW w:type="dxa" w:w="3331"/>
          </w:tcPr>
          <w:p>
            <w:pPr>
              <w:spacing w:after="0"/>
            </w:pPr>
            <w:r>
              <w:rPr>
                <w:sz w:val="16"/>
              </w:rPr>
              <w:t>Supplied code</w:t>
            </w:r>
          </w:p>
        </w:tc>
      </w:tr>
      <w:tr>
        <w:tc>
          <w:tcPr>
            <w:tcW w:type="dxa" w:w="3331"/>
          </w:tcPr>
          <w:p>
            <w:pPr>
              <w:spacing w:after="0"/>
            </w:pPr>
            <w:r>
              <w:rPr>
                <w:sz w:val="16"/>
              </w:rPr>
              <w:t>F1 average</w:t>
            </w:r>
          </w:p>
        </w:tc>
        <w:tc>
          <w:tcPr>
            <w:tcW w:type="dxa" w:w="3331"/>
          </w:tcPr>
          <w:p>
            <w:pPr>
              <w:spacing w:after="0"/>
            </w:pPr>
            <w:r>
              <w:rPr>
                <w:sz w:val="16"/>
              </w:rPr>
              <w:t>Binary; positive class is malware</w:t>
            </w:r>
          </w:p>
        </w:tc>
        <w:tc>
          <w:tcPr>
            <w:tcW w:type="dxa" w:w="3331"/>
          </w:tcPr>
          <w:p>
            <w:pPr>
              <w:spacing w:after="0"/>
            </w:pPr>
            <w:r>
              <w:rPr>
                <w:sz w:val="16"/>
              </w:rPr>
              <w:t>Evaluation specification</w:t>
            </w:r>
          </w:p>
        </w:tc>
      </w:tr>
      <w:tr>
        <w:tc>
          <w:tcPr>
            <w:tcW w:type="dxa" w:w="3331"/>
          </w:tcPr>
          <w:p>
            <w:pPr>
              <w:spacing w:after="0"/>
            </w:pPr>
            <w:r>
              <w:rPr>
                <w:sz w:val="16"/>
              </w:rPr>
              <w:t>Threshold</w:t>
            </w:r>
          </w:p>
        </w:tc>
        <w:tc>
          <w:tcPr>
            <w:tcW w:type="dxa" w:w="3331"/>
          </w:tcPr>
          <w:p>
            <w:pPr>
              <w:spacing w:after="0"/>
            </w:pPr>
            <w:r>
              <w:rPr>
                <w:sz w:val="16"/>
              </w:rPr>
              <w:t>Select threshold that maximizes validation F1; freeze for testing</w:t>
            </w:r>
          </w:p>
        </w:tc>
        <w:tc>
          <w:tcPr>
            <w:tcW w:type="dxa" w:w="3331"/>
          </w:tcPr>
          <w:p>
            <w:pPr>
              <w:spacing w:after="0"/>
            </w:pPr>
            <w:r>
              <w:rPr>
                <w:sz w:val="16"/>
              </w:rPr>
              <w:t>Reviewer specification</w:t>
            </w:r>
          </w:p>
        </w:tc>
      </w:tr>
    </w:tbl>
    <w:p>
      <w:pPr>
        <w:spacing w:before="60" w:after="100"/>
        <w:jc w:val="center"/>
      </w:pPr>
      <w:r>
        <w:rPr>
          <w:b/>
          <w:sz w:val="16"/>
        </w:rPr>
        <w:t>TABLE III. SUPPLIED IMPLEMENTATION AND DATA CONFIGURATION</w:t>
      </w:r>
    </w:p>
    <w:p>
      <w:pPr>
        <w:pStyle w:val="Heading2"/>
        <w:keepNext/>
      </w:pPr>
      <w:r>
        <w:t>D. Algorithm Flow</w:t>
      </w:r>
    </w:p>
    <w:p>
      <w:pPr>
        <w:jc w:val="center"/>
      </w:pPr>
      <w:r>
        <w:drawing>
          <wp:inline xmlns:a="http://schemas.openxmlformats.org/drawingml/2006/main" xmlns:pic="http://schemas.openxmlformats.org/drawingml/2006/picture">
            <wp:extent cx="4069080" cy="5967984"/>
            <wp:docPr id="2" name="Picture 2"/>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4069080" cy="5967984"/>
                    </a:xfrm>
                    <a:prstGeom prst="rect"/>
                  </pic:spPr>
                </pic:pic>
              </a:graphicData>
            </a:graphic>
          </wp:inline>
        </w:drawing>
      </w:r>
    </w:p>
    <w:p>
      <w:pPr>
        <w:jc w:val="center"/>
      </w:pPr>
      <w:r>
        <w:rPr>
          <w:i/>
          <w:sz w:val="16"/>
        </w:rPr>
        <w:t>Fig. 2. Planned training and evaluation workflow.</w:t>
      </w:r>
    </w:p>
    <w:p>
      <w:pPr>
        <w:pStyle w:val="Heading1"/>
        <w:keepNext/>
      </w:pPr>
      <w:r>
        <w:t>IV. Results and Discussion</w:t>
      </w:r>
    </w:p>
    <w:p>
      <w:pPr>
        <w:spacing w:after="120"/>
      </w:pPr>
      <w:r>
        <w:t>Illustrative generated estimates - the values below are conservative, constructed projections for planning and report presentation. They are not outputs from trained models or measurements on BODMAS. Replace them with measured results after running the stated experiment.</w:t>
      </w:r>
    </w:p>
    <w:p>
      <w:pPr>
        <w:spacing w:before="80" w:after="60"/>
      </w:pPr>
      <w:r>
        <w:rPr>
          <w:b/>
          <w:sz w:val="18"/>
        </w:rPr>
        <w:t>TABLE I. ILLUSTRATIVE MONTHLY AUROC ESTIMATES</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tcPr>
          <w:p>
            <w:pPr>
              <w:spacing w:after="0"/>
            </w:pPr>
            <w:r>
              <w:rPr>
                <w:b/>
                <w:sz w:val="16"/>
              </w:rPr>
              <w:t>Model</w:t>
            </w:r>
          </w:p>
        </w:tc>
        <w:tc>
          <w:tcPr>
            <w:tcW w:type="dxa" w:w="1999"/>
          </w:tcPr>
          <w:p>
            <w:pPr>
              <w:spacing w:after="0"/>
            </w:pPr>
            <w:r>
              <w:rPr>
                <w:b/>
                <w:sz w:val="16"/>
              </w:rPr>
              <w:t>Month 10</w:t>
            </w:r>
          </w:p>
        </w:tc>
        <w:tc>
          <w:tcPr>
            <w:tcW w:type="dxa" w:w="1999"/>
          </w:tcPr>
          <w:p>
            <w:pPr>
              <w:spacing w:after="0"/>
            </w:pPr>
            <w:r>
              <w:rPr>
                <w:b/>
                <w:sz w:val="16"/>
              </w:rPr>
              <w:t>Month 11</w:t>
            </w:r>
          </w:p>
        </w:tc>
        <w:tc>
          <w:tcPr>
            <w:tcW w:type="dxa" w:w="1999"/>
          </w:tcPr>
          <w:p>
            <w:pPr>
              <w:spacing w:after="0"/>
            </w:pPr>
            <w:r>
              <w:rPr>
                <w:b/>
                <w:sz w:val="16"/>
              </w:rPr>
              <w:t>Month 12</w:t>
            </w:r>
          </w:p>
        </w:tc>
        <w:tc>
          <w:tcPr>
            <w:tcW w:type="dxa" w:w="1999"/>
          </w:tcPr>
          <w:p>
            <w:pPr>
              <w:spacing w:after="0"/>
            </w:pPr>
            <w:r>
              <w:rPr>
                <w:b/>
                <w:sz w:val="16"/>
              </w:rPr>
              <w:t>Month 13</w:t>
            </w:r>
          </w:p>
        </w:tc>
      </w:tr>
      <w:tr>
        <w:tc>
          <w:tcPr>
            <w:tcW w:type="dxa" w:w="1999"/>
          </w:tcPr>
          <w:p>
            <w:pPr>
              <w:spacing w:after="0"/>
            </w:pPr>
            <w:r>
              <w:rPr>
                <w:sz w:val="16"/>
              </w:rPr>
              <w:t>XGBoost</w:t>
            </w:r>
          </w:p>
        </w:tc>
        <w:tc>
          <w:tcPr>
            <w:tcW w:type="dxa" w:w="1999"/>
          </w:tcPr>
          <w:p>
            <w:r>
              <w:t>0.958</w:t>
            </w:r>
          </w:p>
        </w:tc>
        <w:tc>
          <w:tcPr>
            <w:tcW w:type="dxa" w:w="1999"/>
          </w:tcPr>
          <w:p>
            <w:r>
              <w:t>0.946</w:t>
            </w:r>
          </w:p>
        </w:tc>
        <w:tc>
          <w:tcPr>
            <w:tcW w:type="dxa" w:w="1999"/>
          </w:tcPr>
          <w:p>
            <w:r>
              <w:t>0.931</w:t>
            </w:r>
          </w:p>
        </w:tc>
        <w:tc>
          <w:tcPr>
            <w:tcW w:type="dxa" w:w="1999"/>
          </w:tcPr>
          <w:p>
            <w:r>
              <w:t>0.916</w:t>
            </w:r>
          </w:p>
        </w:tc>
      </w:tr>
      <w:tr>
        <w:tc>
          <w:tcPr>
            <w:tcW w:type="dxa" w:w="1999"/>
          </w:tcPr>
          <w:p>
            <w:pPr>
              <w:spacing w:after="0"/>
            </w:pPr>
            <w:r>
              <w:rPr>
                <w:sz w:val="16"/>
              </w:rPr>
              <w:t>LightGBM</w:t>
            </w:r>
          </w:p>
        </w:tc>
        <w:tc>
          <w:tcPr>
            <w:tcW w:type="dxa" w:w="1999"/>
          </w:tcPr>
          <w:p>
            <w:r>
              <w:t>0.961</w:t>
            </w:r>
          </w:p>
        </w:tc>
        <w:tc>
          <w:tcPr>
            <w:tcW w:type="dxa" w:w="1999"/>
          </w:tcPr>
          <w:p>
            <w:r>
              <w:t>0.950</w:t>
            </w:r>
          </w:p>
        </w:tc>
        <w:tc>
          <w:tcPr>
            <w:tcW w:type="dxa" w:w="1999"/>
          </w:tcPr>
          <w:p>
            <w:r>
              <w:t>0.936</w:t>
            </w:r>
          </w:p>
        </w:tc>
        <w:tc>
          <w:tcPr>
            <w:tcW w:type="dxa" w:w="1999"/>
          </w:tcPr>
          <w:p>
            <w:r>
              <w:t>0.921</w:t>
            </w:r>
          </w:p>
        </w:tc>
      </w:tr>
      <w:tr>
        <w:tc>
          <w:tcPr>
            <w:tcW w:type="dxa" w:w="1999"/>
          </w:tcPr>
          <w:p>
            <w:pPr>
              <w:spacing w:after="0"/>
            </w:pPr>
            <w:r>
              <w:rPr>
                <w:sz w:val="16"/>
              </w:rPr>
              <w:t>MLP</w:t>
            </w:r>
          </w:p>
        </w:tc>
        <w:tc>
          <w:tcPr>
            <w:tcW w:type="dxa" w:w="1999"/>
          </w:tcPr>
          <w:p>
            <w:r>
              <w:t>0.947</w:t>
            </w:r>
          </w:p>
        </w:tc>
        <w:tc>
          <w:tcPr>
            <w:tcW w:type="dxa" w:w="1999"/>
          </w:tcPr>
          <w:p>
            <w:r>
              <w:t>0.931</w:t>
            </w:r>
          </w:p>
        </w:tc>
        <w:tc>
          <w:tcPr>
            <w:tcW w:type="dxa" w:w="1999"/>
          </w:tcPr>
          <w:p>
            <w:r>
              <w:t>0.911</w:t>
            </w:r>
          </w:p>
        </w:tc>
        <w:tc>
          <w:tcPr>
            <w:tcW w:type="dxa" w:w="1999"/>
          </w:tcPr>
          <w:p>
            <w:r>
              <w:t>0.889</w:t>
            </w:r>
          </w:p>
        </w:tc>
      </w:tr>
      <w:tr>
        <w:tc>
          <w:tcPr>
            <w:tcW w:type="dxa" w:w="1999"/>
          </w:tcPr>
          <w:p>
            <w:pPr>
              <w:spacing w:after="0"/>
            </w:pPr>
            <w:r>
              <w:rPr>
                <w:sz w:val="16"/>
              </w:rPr>
              <w:t>Latent Neural ODE</w:t>
            </w:r>
          </w:p>
        </w:tc>
        <w:tc>
          <w:tcPr>
            <w:tcW w:type="dxa" w:w="1999"/>
          </w:tcPr>
          <w:p>
            <w:r>
              <w:t>0.953</w:t>
            </w:r>
          </w:p>
        </w:tc>
        <w:tc>
          <w:tcPr>
            <w:tcW w:type="dxa" w:w="1999"/>
          </w:tcPr>
          <w:p>
            <w:r>
              <w:t>0.947</w:t>
            </w:r>
          </w:p>
        </w:tc>
        <w:tc>
          <w:tcPr>
            <w:tcW w:type="dxa" w:w="1999"/>
          </w:tcPr>
          <w:p>
            <w:r>
              <w:t>0.939</w:t>
            </w:r>
          </w:p>
        </w:tc>
        <w:tc>
          <w:tcPr>
            <w:tcW w:type="dxa" w:w="1999"/>
          </w:tcPr>
          <w:p>
            <w:r>
              <w:t>0.929</w:t>
            </w:r>
          </w:p>
        </w:tc>
      </w:tr>
      <w:tr>
        <w:tc>
          <w:tcPr>
            <w:tcW w:type="dxa" w:w="1999"/>
          </w:tcPr>
          <w:p>
            <w:pPr>
              <w:spacing w:after="0"/>
            </w:pPr>
            <w:r>
              <w:rPr>
                <w:sz w:val="16"/>
              </w:rPr>
              <w:t>HistGradientBoosting</w:t>
            </w:r>
          </w:p>
        </w:tc>
        <w:tc>
          <w:tcPr>
            <w:tcW w:type="dxa" w:w="1999"/>
          </w:tcPr>
          <w:p>
            <w:r>
              <w:t>0.956</w:t>
            </w:r>
          </w:p>
        </w:tc>
        <w:tc>
          <w:tcPr>
            <w:tcW w:type="dxa" w:w="1999"/>
          </w:tcPr>
          <w:p>
            <w:r>
              <w:t>0.944</w:t>
            </w:r>
          </w:p>
        </w:tc>
        <w:tc>
          <w:tcPr>
            <w:tcW w:type="dxa" w:w="1999"/>
          </w:tcPr>
          <w:p>
            <w:r>
              <w:t>0.929</w:t>
            </w:r>
          </w:p>
        </w:tc>
        <w:tc>
          <w:tcPr>
            <w:tcW w:type="dxa" w:w="1999"/>
          </w:tcPr>
          <w:p>
            <w:r>
              <w:t>0.913</w:t>
            </w:r>
          </w:p>
        </w:tc>
      </w:tr>
    </w:tbl>
    <w:p>
      <w:pPr>
        <w:spacing w:before="80" w:after="60"/>
      </w:pPr>
      <w:r>
        <w:rPr>
          <w:b/>
          <w:sz w:val="18"/>
        </w:rPr>
        <w:t>TABLE II. ILLUSTRATIVE MONTHLY MACRO F1 ESTIMATES</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tcPr>
          <w:p>
            <w:pPr>
              <w:spacing w:after="0"/>
            </w:pPr>
            <w:r>
              <w:rPr>
                <w:b/>
                <w:sz w:val="16"/>
              </w:rPr>
              <w:t>Model</w:t>
            </w:r>
          </w:p>
        </w:tc>
        <w:tc>
          <w:tcPr>
            <w:tcW w:type="dxa" w:w="1999"/>
          </w:tcPr>
          <w:p>
            <w:pPr>
              <w:spacing w:after="0"/>
            </w:pPr>
            <w:r>
              <w:rPr>
                <w:b/>
                <w:sz w:val="16"/>
              </w:rPr>
              <w:t>Month 10</w:t>
            </w:r>
          </w:p>
        </w:tc>
        <w:tc>
          <w:tcPr>
            <w:tcW w:type="dxa" w:w="1999"/>
          </w:tcPr>
          <w:p>
            <w:pPr>
              <w:spacing w:after="0"/>
            </w:pPr>
            <w:r>
              <w:rPr>
                <w:b/>
                <w:sz w:val="16"/>
              </w:rPr>
              <w:t>Month 11</w:t>
            </w:r>
          </w:p>
        </w:tc>
        <w:tc>
          <w:tcPr>
            <w:tcW w:type="dxa" w:w="1999"/>
          </w:tcPr>
          <w:p>
            <w:pPr>
              <w:spacing w:after="0"/>
            </w:pPr>
            <w:r>
              <w:rPr>
                <w:b/>
                <w:sz w:val="16"/>
              </w:rPr>
              <w:t>Month 12</w:t>
            </w:r>
          </w:p>
        </w:tc>
        <w:tc>
          <w:tcPr>
            <w:tcW w:type="dxa" w:w="1999"/>
          </w:tcPr>
          <w:p>
            <w:pPr>
              <w:spacing w:after="0"/>
            </w:pPr>
            <w:r>
              <w:rPr>
                <w:b/>
                <w:sz w:val="16"/>
              </w:rPr>
              <w:t>Month 13</w:t>
            </w:r>
          </w:p>
        </w:tc>
      </w:tr>
      <w:tr>
        <w:tc>
          <w:tcPr>
            <w:tcW w:type="dxa" w:w="1999"/>
          </w:tcPr>
          <w:p>
            <w:pPr>
              <w:spacing w:after="0"/>
            </w:pPr>
            <w:r>
              <w:rPr>
                <w:sz w:val="16"/>
              </w:rPr>
              <w:t>XGBoost</w:t>
            </w:r>
          </w:p>
        </w:tc>
        <w:tc>
          <w:tcPr>
            <w:tcW w:type="dxa" w:w="1999"/>
          </w:tcPr>
          <w:p>
            <w:r>
              <w:t>0.904</w:t>
            </w:r>
          </w:p>
        </w:tc>
        <w:tc>
          <w:tcPr>
            <w:tcW w:type="dxa" w:w="1999"/>
          </w:tcPr>
          <w:p>
            <w:r>
              <w:t>0.878</w:t>
            </w:r>
          </w:p>
        </w:tc>
        <w:tc>
          <w:tcPr>
            <w:tcW w:type="dxa" w:w="1999"/>
          </w:tcPr>
          <w:p>
            <w:r>
              <w:t>0.849</w:t>
            </w:r>
          </w:p>
        </w:tc>
        <w:tc>
          <w:tcPr>
            <w:tcW w:type="dxa" w:w="1999"/>
          </w:tcPr>
          <w:p>
            <w:r>
              <w:t>0.818</w:t>
            </w:r>
          </w:p>
        </w:tc>
      </w:tr>
      <w:tr>
        <w:tc>
          <w:tcPr>
            <w:tcW w:type="dxa" w:w="1999"/>
          </w:tcPr>
          <w:p>
            <w:pPr>
              <w:spacing w:after="0"/>
            </w:pPr>
            <w:r>
              <w:rPr>
                <w:sz w:val="16"/>
              </w:rPr>
              <w:t>LightGBM</w:t>
            </w:r>
          </w:p>
        </w:tc>
        <w:tc>
          <w:tcPr>
            <w:tcW w:type="dxa" w:w="1999"/>
          </w:tcPr>
          <w:p>
            <w:r>
              <w:t>0.911</w:t>
            </w:r>
          </w:p>
        </w:tc>
        <w:tc>
          <w:tcPr>
            <w:tcW w:type="dxa" w:w="1999"/>
          </w:tcPr>
          <w:p>
            <w:r>
              <w:t>0.885</w:t>
            </w:r>
          </w:p>
        </w:tc>
        <w:tc>
          <w:tcPr>
            <w:tcW w:type="dxa" w:w="1999"/>
          </w:tcPr>
          <w:p>
            <w:r>
              <w:t>0.857</w:t>
            </w:r>
          </w:p>
        </w:tc>
        <w:tc>
          <w:tcPr>
            <w:tcW w:type="dxa" w:w="1999"/>
          </w:tcPr>
          <w:p>
            <w:r>
              <w:t>0.827</w:t>
            </w:r>
          </w:p>
        </w:tc>
      </w:tr>
      <w:tr>
        <w:tc>
          <w:tcPr>
            <w:tcW w:type="dxa" w:w="1999"/>
          </w:tcPr>
          <w:p>
            <w:pPr>
              <w:spacing w:after="0"/>
            </w:pPr>
            <w:r>
              <w:rPr>
                <w:sz w:val="16"/>
              </w:rPr>
              <w:t>MLP</w:t>
            </w:r>
          </w:p>
        </w:tc>
        <w:tc>
          <w:tcPr>
            <w:tcW w:type="dxa" w:w="1999"/>
          </w:tcPr>
          <w:p>
            <w:r>
              <w:t>0.882</w:t>
            </w:r>
          </w:p>
        </w:tc>
        <w:tc>
          <w:tcPr>
            <w:tcW w:type="dxa" w:w="1999"/>
          </w:tcPr>
          <w:p>
            <w:r>
              <w:t>0.847</w:t>
            </w:r>
          </w:p>
        </w:tc>
        <w:tc>
          <w:tcPr>
            <w:tcW w:type="dxa" w:w="1999"/>
          </w:tcPr>
          <w:p>
            <w:r>
              <w:t>0.811</w:t>
            </w:r>
          </w:p>
        </w:tc>
        <w:tc>
          <w:tcPr>
            <w:tcW w:type="dxa" w:w="1999"/>
          </w:tcPr>
          <w:p>
            <w:r>
              <w:t>0.772</w:t>
            </w:r>
          </w:p>
        </w:tc>
      </w:tr>
      <w:tr>
        <w:tc>
          <w:tcPr>
            <w:tcW w:type="dxa" w:w="1999"/>
          </w:tcPr>
          <w:p>
            <w:pPr>
              <w:spacing w:after="0"/>
            </w:pPr>
            <w:r>
              <w:rPr>
                <w:sz w:val="16"/>
              </w:rPr>
              <w:t>Latent Neural ODE</w:t>
            </w:r>
          </w:p>
        </w:tc>
        <w:tc>
          <w:tcPr>
            <w:tcW w:type="dxa" w:w="1999"/>
          </w:tcPr>
          <w:p>
            <w:r>
              <w:t>0.891</w:t>
            </w:r>
          </w:p>
        </w:tc>
        <w:tc>
          <w:tcPr>
            <w:tcW w:type="dxa" w:w="1999"/>
          </w:tcPr>
          <w:p>
            <w:r>
              <w:t>0.880</w:t>
            </w:r>
          </w:p>
        </w:tc>
        <w:tc>
          <w:tcPr>
            <w:tcW w:type="dxa" w:w="1999"/>
          </w:tcPr>
          <w:p>
            <w:r>
              <w:t>0.865</w:t>
            </w:r>
          </w:p>
        </w:tc>
        <w:tc>
          <w:tcPr>
            <w:tcW w:type="dxa" w:w="1999"/>
          </w:tcPr>
          <w:p>
            <w:r>
              <w:t>0.847</w:t>
            </w:r>
          </w:p>
        </w:tc>
      </w:tr>
      <w:tr>
        <w:tc>
          <w:tcPr>
            <w:tcW w:type="dxa" w:w="1999"/>
          </w:tcPr>
          <w:p>
            <w:pPr>
              <w:spacing w:after="0"/>
            </w:pPr>
            <w:r>
              <w:rPr>
                <w:sz w:val="16"/>
              </w:rPr>
              <w:t>HistGradientBoosting</w:t>
            </w:r>
          </w:p>
        </w:tc>
        <w:tc>
          <w:tcPr>
            <w:tcW w:type="dxa" w:w="1999"/>
          </w:tcPr>
          <w:p>
            <w:r>
              <w:t>0.899</w:t>
            </w:r>
          </w:p>
        </w:tc>
        <w:tc>
          <w:tcPr>
            <w:tcW w:type="dxa" w:w="1999"/>
          </w:tcPr>
          <w:p>
            <w:r>
              <w:t>0.872</w:t>
            </w:r>
          </w:p>
        </w:tc>
        <w:tc>
          <w:tcPr>
            <w:tcW w:type="dxa" w:w="1999"/>
          </w:tcPr>
          <w:p>
            <w:r>
              <w:t>0.841</w:t>
            </w:r>
          </w:p>
        </w:tc>
        <w:tc>
          <w:tcPr>
            <w:tcW w:type="dxa" w:w="1999"/>
          </w:tcPr>
          <w:p>
            <w:r>
              <w:t>0.808</w:t>
            </w:r>
          </w:p>
        </w:tc>
      </w:tr>
    </w:tbl>
    <w:p>
      <w:pPr>
        <w:spacing w:after="100"/>
      </w:pPr>
      <w:r>
        <w:t>The generated scenario represents moderate gradual temporal drift: all methods decline across the four future test months. The projected AUROC reduction from Month 10 to Month 13 is 0.032 for the Latent Neural ODE, 0.040 for LightGBM, 0.042 for XGBoost, 0.043 for HistGradientBoosting, and 0.058 for the MLP. In the last test month, the projected Neural ODE advantage is modest: 0.008 AUROC over LightGBM and 0.016 over HistGradientBoosting. These estimates are illustrative only and do not establish that continuous dynamics improve performance.</w:t>
      </w:r>
    </w:p>
    <w:p>
      <w:pPr>
        <w:spacing w:after="100"/>
      </w:pPr>
      <w:r>
        <w:t>The illustrative macro F1 values also decline over time. The Latent Neural ODE drops by 0.044 from Month 10 to Month 13, compared with 0.084 for LightGBM and 0.091 for HistGradientBoosting. This moderate projected difference is a hypothesis for the experiment, not a measured effect. Validation-selected thresholds may not remain optimal as class prevalence and feature distributions change, so the final test should use the frozen validation threshold and report per-month precision, recall, and support alongside F1.</w:t>
      </w:r>
    </w:p>
    <w:p>
      <w:pPr>
        <w:spacing w:after="100"/>
      </w:pPr>
      <w:r>
        <w:t>AUT is intentionally not assigned a generated value here: its calculation depends on the exact time-decay curve, normalization, and convention adopted from the evaluation protocol. The final analysis should compute it from measured monthly results and document that convention. Before interpreting any model ranking, report sample counts and class prevalence for each month, random-seed variability, threshold selection, training time, and solver function evaluations.</w:t>
      </w:r>
    </w:p>
    <w:p>
      <w:pPr>
        <w:pStyle w:val="Heading1"/>
        <w:keepNext/>
      </w:pPr>
      <w:r>
        <w:t>V. Conclusions</w:t>
      </w:r>
    </w:p>
    <w:p>
      <w:r>
        <w:t>This report proposes a continuous-time latent model for studying malware concept drift using timestamped BODMAS data. Its central methodological requirement is chronological evaluation: models must be trained only on earlier months and assessed on unseen later months. The Neural ODE will be compared with XGBoost, LightGBM, and an MLP using monthly AUROC, macro F1, and AUT, with an ablation to determine whether the ODE dynamics add value beyond the encoder and decoder. The approach offers flexible time evolution and can represent irregular intervals, but it adds solver cost and may miss abrupt changes without jump updates. The project’s conclusion about drift resilience must therefore depend on the completed month-wise experiments and transparent reporting of limitations.</w:t>
      </w:r>
    </w:p>
    <w:p>
      <w:pPr>
        <w:pStyle w:val="Heading1"/>
        <w:keepNext/>
      </w:pPr>
      <w:r>
        <w:t>References</w:t>
      </w:r>
    </w:p>
    <w:p>
      <w:pPr>
        <w:spacing w:after="60" w:line="240" w:lineRule="auto"/>
        <w:ind w:left="317" w:hanging="317"/>
      </w:pPr>
      <w:r>
        <w:t>[1] F. Pendlebury, F. Pierazzi, R. Jordaney, J. Kinder, and L. Cavallaro, “TESSERACT: Eliminating Experimental Bias in Malware Classification across Space and Time,” in Proc. 28th USENIX Security Symposium, 2019, pp. 729–746.</w:t>
      </w:r>
    </w:p>
    <w:p>
      <w:pPr>
        <w:spacing w:after="60" w:line="240" w:lineRule="auto"/>
        <w:ind w:left="317" w:hanging="317"/>
      </w:pPr>
      <w:r>
        <w:t>[2] H. S. Anderson and P. Roth, “EMBER: An Open Dataset for Training Static PE Malware Machine Learning Models,” arXiv:1804.04637, 2018.</w:t>
      </w:r>
    </w:p>
    <w:p>
      <w:pPr>
        <w:spacing w:after="60" w:line="240" w:lineRule="auto"/>
        <w:ind w:left="317" w:hanging="317"/>
      </w:pPr>
      <w:r>
        <w:t>[3] L. Yang, A. Ciptadi, I. Laziuk, A. Ahmadzadeh, and G. Wang, “BODMAS: An Open Dataset for Learning-based Temporal Analysis of PE Malware,” in Proc. Deep Learning and Security Workshop, 2021.</w:t>
      </w:r>
    </w:p>
    <w:p>
      <w:pPr>
        <w:spacing w:after="60" w:line="240" w:lineRule="auto"/>
        <w:ind w:left="317" w:hanging="317"/>
      </w:pPr>
      <w:r>
        <w:t>[4] R. T. Q. Chen, Y. Rubanova, J. Bettencourt, and D. K. Duvenaud, “Neural Ordinary Differential Equations,” in Advances in Neural Information Processing Systems, vol. 31, 2018, pp. 6571–6583.</w:t>
      </w:r>
    </w:p>
    <w:p>
      <w:pPr>
        <w:spacing w:after="60" w:line="240" w:lineRule="auto"/>
        <w:ind w:left="317" w:hanging="317"/>
      </w:pPr>
      <w:r>
        <w:t>[5] Y. Rubanova, R. T. Q. Chen, and D. K. Duvenaud, “Latent Ordinary Differential Equations for Irregularly-Sampled Time Series,” in Advances in Neural Information Processing Systems, vol. 32, 2019.</w:t>
      </w:r>
    </w:p>
    <w:p>
      <w:pPr>
        <w:spacing w:after="60" w:line="240" w:lineRule="auto"/>
        <w:ind w:left="317" w:hanging="317"/>
      </w:pPr>
      <w:r>
        <w:t>[6] C. Herrera, F. Krach, and J. Teichmann, “Neural Jump Ordinary Differential Equations: Consistent Continuous-Time Prediction and Filtering,” arXiv:2006.04727, 2020.</w:t>
      </w:r>
    </w:p>
    <w:p>
      <w:pPr>
        <w:spacing w:after="60" w:line="240" w:lineRule="auto"/>
        <w:ind w:left="317" w:hanging="317"/>
      </w:pPr>
      <w:r>
        <w:t>[7] P. Kidger, J. Morrill, J. Foster, and T. Lyons, “Neural Controlled Differential Equations for Irregular Time Series,” in Advances in Neural Information Processing Systems, vol. 33, 2020.</w:t>
      </w:r>
    </w:p>
    <w:p>
      <w:pPr>
        <w:spacing w:after="60" w:line="240" w:lineRule="auto"/>
        <w:ind w:left="317" w:hanging="317"/>
      </w:pPr>
      <w:r>
        <w:t>[8] K. Grosse, N. Papernot, P. Manoharan, M. Backes, and P. McDaniel, “Adversarial Examples for Malware Detection,” in Computer Security – ESORICS 2017, LNCS 10493, 2017, pp. 62–79.</w:t>
      </w:r>
    </w:p>
    <w:p>
      <w:pPr>
        <w:spacing w:after="60" w:line="240" w:lineRule="auto"/>
        <w:ind w:left="317" w:hanging="317"/>
      </w:pPr>
      <w:r>
        <w:t>[9] M. T. Alam, R. Fieblinger, A. Mahara, and N. Rastogi, “MORPH: Towards Automated Concept Drift Adaptation for Malware Detection,” arXiv:2401.12790, 2024.</w:t>
      </w:r>
    </w:p>
    <w:p>
      <w:pPr>
        <w:spacing w:after="60" w:line="240" w:lineRule="auto"/>
        <w:ind w:left="317" w:hanging="317"/>
      </w:pPr>
      <w:r>
        <w:t>[10] J. Gama, I. Žliobaitė, A. Bifet, M. Pechenizkiy, and A. Bouchachia, “A Survey on Concept Drift Adaptation,” ACM Computing Surveys, vol. 46, no. 4, article 44, 2014.</w:t>
      </w:r>
    </w:p>
    <w:p>
      <w:pPr>
        <w:spacing w:after="60" w:line="240" w:lineRule="auto"/>
        <w:ind w:left="317" w:hanging="317"/>
      </w:pPr>
      <w:r>
        <w:t>[11] T.-Y. Lin, P. Goyal, R. Girshick, K. He, and P. Dollár, “Focal Loss for Dense Object Detection,” in Proc. IEEE International Conference on Computer Vision, 2017, pp. 2980–2988.</w:t>
      </w:r>
    </w:p>
    <w:p>
      <w:pPr>
        <w:spacing w:after="60" w:line="240" w:lineRule="auto"/>
        <w:ind w:left="317" w:hanging="317"/>
      </w:pPr>
      <w:r>
        <w:t>[12] D. P. Kingma and J. Ba, “Adam: A Method for Stochastic Optimization,” in Proc. International Conference on Learning Representations, 2015.</w:t>
      </w:r>
    </w:p>
    <w:p>
      <w:pPr>
        <w:spacing w:after="60" w:line="240" w:lineRule="auto"/>
        <w:ind w:left="317" w:hanging="317"/>
      </w:pPr>
      <w:r>
        <w:t>[13] T. Chen and C. Guestrin, “XGBoost: A Scalable Tree Boosting System,” in Proc. 22nd ACM SIGKDD International Conference on Knowledge Discovery and Data Mining, 2016, pp. 785–794.</w:t>
      </w:r>
    </w:p>
    <w:p>
      <w:pPr>
        <w:spacing w:after="60" w:line="240" w:lineRule="auto"/>
        <w:ind w:left="317" w:hanging="317"/>
      </w:pPr>
      <w:r>
        <w:t>[14] G. Ke et al., “LightGBM: A Highly Efficient Gradient Boosting Decision Tree,” in Advances in Neural Information Processing Systems, vol. 30, 2017.</w:t>
      </w:r>
    </w:p>
    <w:p>
      <w:pPr>
        <w:spacing w:after="60" w:line="240" w:lineRule="auto"/>
        <w:ind w:left="317" w:hanging="317"/>
      </w:pPr>
      <w:r>
        <w:t>[15] E. Dupont, A. Doucet, and Y. W. Teh, “Augmented Neural ODEs,” in Advances in Neural Information Processing Systems, vol. 32, 2019.</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Ramdeobaba University, Nagpur  •  Academic Session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CAPSTONE PROJECT REPORT  |  DEEP LEARNING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mbria" w:hAnsi="Cambria"/>
      <w:b/>
      <w:bCs/>
      <w:color w:val="1C37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315B7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C37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