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PingFang SC" w:cs="PingFang SC" w:eastAsia="PingFang SC" w:hAnsi="PingFang SC"/>
          <w:b/>
          <w:bCs/>
        </w:rPr>
        <w:t xml:space="preserve">端侧触发器 PRD — 逻辑梳理与 TODO 整理</w:t>
      </w:r>
    </w:p>
    <w:p>
      <w:pPr>
        <w:spacing w:after="120" w:line="360"/>
        <w:rPr>
          <w:color w:val="888888"/>
          <w:sz w:val="20"/>
          <w:szCs w:val="20"/>
        </w:rPr>
      </w:pPr>
      <w:r>
        <w:rPr>
          <w:rFonts w:ascii="PingFang SC" w:cs="PingFang SC" w:eastAsia="PingFang SC" w:hAnsi="PingFang SC"/>
          <w:color w:val="888888"/>
          <w:sz w:val="20"/>
          <w:szCs w:val="20"/>
        </w:rPr>
        <w:t xml:space="preserve">基于 2026-05-14 版本 PRD + 2026-05-09 会议纪要（张兰若）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p>
      <w:pPr>
        <w:pStyle w:val="Heading2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一、PRD 整体逻辑链路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这份 PRD 讲的是一个完整的 “信号 → 判断 → 执行 → 回写” 闭环，分六个阶段：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做什么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谁负责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A73E8"/>
                <w:sz w:val="20"/>
                <w:szCs w:val="20"/>
              </w:rPr>
              <w:t xml:space="preserve">采集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6大类信号从各自来源写入端侧信号库（车辆端状态 / 手机外设IoT / 视觉状态 / APP应用状态 / 用户Query / 任务状态）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各信号源 → 信号库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A73E8"/>
                <w:sz w:val="20"/>
                <w:szCs w:val="20"/>
              </w:rPr>
              <w:t xml:space="preserve">判断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触发器从信号库读取/订阅信号，做二级匹配：先判运行时段（信号组合），再判触发条件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端侧触发器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A73E8"/>
                <w:sz w:val="20"/>
                <w:szCs w:val="20"/>
              </w:rPr>
              <w:t xml:space="preserve">调度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条件命中 → 标记优先级（P0-P4）→ 生成运行指令 → 下发给 VLM 相关业务模块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触发器标记 + VLM 侧执行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A73E8"/>
                <w:sz w:val="20"/>
                <w:szCs w:val="20"/>
              </w:rPr>
              <w:t xml:space="preserve">执行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VLM 相关业务模块（含 Agent 逻辑）内部管理并发(≈3)、打断恢复、Always-on 重启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VLM 相关业务模块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A73E8"/>
                <w:sz w:val="20"/>
                <w:szCs w:val="20"/>
              </w:rPr>
              <w:t xml:space="preserve">回写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VLM 结果写回信号库（供二次触发）+ 上报云端 context（供 Planner/Adviser 消费）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VLM → 信号库 →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A73E8"/>
                <w:sz w:val="20"/>
                <w:szCs w:val="20"/>
              </w:rPr>
              <w:t xml:space="preserve">闭环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Planner/Adviser 消费 context → 动态注册新任务到云端触发器 → 下发端侧触发器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云侧 → 端侧</w:t>
            </w:r>
          </w:p>
        </w:tc>
      </w:tr>
    </w:tbl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PingFang SC" w:cs="PingFang SC" w:eastAsia="PingFang SC" w:hAnsi="PingFang SC"/>
          <w:b/>
          <w:bCs/>
          <w:color w:val="1B7A3D"/>
          <w:sz w:val="21"/>
          <w:szCs w:val="21"/>
        </w:rPr>
        <w:t xml:space="preserve">结论：</w:t>
      </w:r>
      <w:r>
        <w:rPr>
          <w:rFonts w:ascii="PingFang SC" w:cs="PingFang SC" w:eastAsia="PingFang SC" w:hAnsi="PingFang SC"/>
          <w:sz w:val="21"/>
          <w:szCs w:val="21"/>
        </w:rPr>
        <w:t xml:space="preserve">主链路逻辑自洽。信号统一入库 → 触发器只读信号库 → 触发器只标记+下发 → 触发器只收最终结果。职责边界清晰。</w:t>
      </w:r>
    </w:p>
    <w:p>
      <w:pPr>
        <w:pStyle w:val="Heading2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二、评审时需要讲清的三条线</w:t>
      </w:r>
    </w:p>
    <w:p>
      <w:pPr>
        <w:pStyle w:val="Heading3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线一：为什么分“信号库”和“触发器”两个模块？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信号库解决“数据归一”——各种来源、格式不同的信号统一标准化存储。触发器解决“规则判断”——只认信号库，不关心信号从哪来。两者分开后，新增信号来源只需改信号库写入适配，不动触发器；新增规则只需改触发器配置，不动信号库。</w:t>
      </w:r>
    </w:p>
    <w:p>
      <w:pPr>
        <w:pStyle w:val="Heading3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线二：触发器和 VLM 业务模块的职责边界在哪？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触发器 = 标记优先级 + 下发运行指令 + 接收最终结果。不排队、不仲裁、不管并发、不参与打断恢复。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VLM 相关业务模块 = 实际执行 + 并发管理 + 打断恢复。含 Agent 逻辑（如增强哨兵 Agent），内部自己管 prompt / 抽帧 / 调用 VLM。</w:t>
      </w:r>
    </w:p>
    <w:p>
      <w:pPr>
        <w:spacing w:after="120" w:line="360"/>
      </w:pPr>
      <w:r>
        <w:rPr>
          <w:rFonts w:ascii="PingFang SC" w:cs="PingFang SC" w:eastAsia="PingFang SC" w:hAnsi="PingFang SC"/>
          <w:b/>
          <w:bCs/>
          <w:color w:val="D93025"/>
          <w:sz w:val="21"/>
          <w:szCs w:val="21"/>
        </w:rPr>
        <w:t xml:space="preserve">这条边界是 5月9日会议张兰若确认的核心结论。</w:t>
      </w:r>
    </w:p>
    <w:p>
      <w:pPr>
        <w:pStyle w:val="Heading3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线三：为什么条件匹配分两级？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15个任务、未来更多。如果每次信号变化扫全部规则，性能差且逻辑乱。第一级“运行时段”做粗筛（行车中时不看离车后的规则），第二级在时段内做精准事件匹配。既降低扫描开销，也让规则结构更清晰。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举例：“下车安全”第一级是“停车时”（上电+P档+解锁），第二级是“D/R/N→P档切换”。当前 D 档行驶时，第一级不通过，第二级不扫。</w:t>
      </w:r>
    </w:p>
    <w:p>
      <w:pPr>
        <w:pStyle w:val="Heading2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三、PRD 正文需修正的问题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3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现状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建议改法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需求目标信号分类还是旧版4类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“OEM/用户信号、导航/场景信号”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改为6大类：车辆端状态/手机外设IoT/视觉状态/APP应用状态/用户Query/任务状态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VLM 命名全文不统一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混用“VLM 模型”“感知模块”“端侧VLM”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统一为“VLM 相关业务模块”（会议确认含 Agent 逻辑，非裸模型）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3.2 功能列表分类与6类不对齐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用的是“OEM信号”“场景信号”“用户识别”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FaceID→视觉状态，导航结束→APP应用状态，蓝牙钥匙→手机/外设/IoT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4.3优先级表措辞暗示触发器做调度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“立即抢占”“FIFO排队”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加脚注：以上为产品预期行为，实际调度由 VLM 业务侧执行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4-2 任务没有名称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只有运行时段和任务内容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补任务名“停车寻车-楼层区域识别”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“上车前”vs“停车时”信号完全一样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都是上电+P+解锁+车速0，信号库只存当前值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需引入“D→P 切换事件”信号写入信号库，用事件区分两个时段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第二节“端侧由三个模块组成”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写的是“信号库、触发器、VLM 模型”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改为“VLM 相关业务模块”，并补一句云侧模块概述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四、全部 TODO 清单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以下整理了 PRD 中所有需要确认的待办项，分为三类：</w:t>
      </w:r>
      <w:r>
        <w:rPr>
          <w:rFonts w:ascii="PingFang SC" w:cs="PingFang SC" w:eastAsia="PingFang SC" w:hAnsi="PingFang SC"/>
          <w:b/>
          <w:bCs/>
          <w:color w:val="1B7A3D"/>
          <w:sz w:val="21"/>
          <w:szCs w:val="21"/>
        </w:rPr>
        <w:t xml:space="preserve">✅ 已有会议答案</w:t>
      </w:r>
      <w:r>
        <w:rPr>
          <w:rFonts w:ascii="PingFang SC" w:cs="PingFang SC" w:eastAsia="PingFang SC" w:hAnsi="PingFang SC"/>
          <w:sz w:val="21"/>
          <w:szCs w:val="21"/>
        </w:rPr>
        <w:t xml:space="preserve">、</w:t>
      </w:r>
      <w:r>
        <w:rPr>
          <w:rFonts w:ascii="PingFang SC" w:cs="PingFang SC" w:eastAsia="PingFang SC" w:hAnsi="PingFang SC"/>
          <w:b/>
          <w:bCs/>
          <w:color w:val="D93025"/>
          <w:sz w:val="21"/>
          <w:szCs w:val="21"/>
        </w:rPr>
        <w:t xml:space="preserve">🔴 产品侧先想清楚</w:t>
      </w:r>
      <w:r>
        <w:rPr>
          <w:rFonts w:ascii="PingFang SC" w:cs="PingFang SC" w:eastAsia="PingFang SC" w:hAnsi="PingFang SC"/>
          <w:sz w:val="21"/>
          <w:szCs w:val="21"/>
        </w:rPr>
        <w:t xml:space="preserve">、</w:t>
      </w:r>
      <w:r>
        <w:rPr>
          <w:rFonts w:ascii="PingFang SC" w:cs="PingFang SC" w:eastAsia="PingFang SC" w:hAnsi="PingFang SC"/>
          <w:b/>
          <w:bCs/>
          <w:color w:val="E65100"/>
          <w:sz w:val="21"/>
          <w:szCs w:val="21"/>
        </w:rPr>
        <w:t xml:space="preserve">🟡 需研发出方案</w:t>
      </w:r>
      <w:r>
        <w:rPr>
          <w:rFonts w:ascii="PingFang SC" w:cs="PingFang SC" w:eastAsia="PingFang SC" w:hAnsi="PingFang SC"/>
          <w:sz w:val="21"/>
          <w:szCs w:val="21"/>
        </w:rPr>
        <w:t xml:space="preserve">。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p>
      <w:pPr>
        <w:pStyle w:val="Heading3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✅ 已有会议答案（需落入正文）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"/>
        <w:gridCol w:w="2800"/>
        <w:gridCol w:w="2800"/>
        <w:gridCol w:w="2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为什么问 / 答案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什么时候问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B7A3D"/>
                <w:sz w:val="20"/>
                <w:szCs w:val="20"/>
              </w:rPr>
              <w:t xml:space="preserve">已确认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Always-on 被打断后恢复策略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答案：VLM 侧根据并发数判断（≈3个），超限暂停 Always-on，降下来后自行重启。触发器不参与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已写入 4.4 和 4.9，文末 TODO 标记已确认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1B7A3D"/>
                <w:sz w:val="20"/>
                <w:szCs w:val="20"/>
              </w:rPr>
              <w:t xml:space="preserve">已确认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单次任务被打断后是否重试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答案：被打断任务触发器不会收到通知。VLM 侧管理重连，高优完成后自动恢复，触发器收结果时间变长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已写入 4.8，文末 TODO 标记已确认</w:t>
            </w:r>
          </w:p>
        </w:tc>
      </w:tr>
    </w:tbl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p>
      <w:pPr>
        <w:pStyle w:val="Heading3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🔴 产品侧评审前需先想清楚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"/>
        <w:gridCol w:w="2800"/>
        <w:gridCol w:w="2800"/>
        <w:gridCol w:w="2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为什么问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什么时候问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产品待定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停车寻车-楼层区域（4-2）编号/优先级/冲突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4-1 和 4-2 同时运行是否互斥？和智驾任务（4-3）冲突怎么办？张兰若说大概率可并行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评审前自己先定方案，评审时研发有异议再调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产品待定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云端规则配置平台对接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云端规则平台是触发器规则来源，但 PRD 没写规则字段格式、下发方式、版本管理、动态注册链路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评审前找赵易红/佳杰了解平台现状，补入 PRD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产品待定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“上车前”vs“停车时”信号区分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两者信号值完全一样（上电+P+解锁+0），区别仅在档位来源方向。信号库只存当前值不存变化方向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评审时研发必问。建议方案：引入 D→P 切换事件信号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产品待定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动态 Adviser 任务（4-N）生命周期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Adviser 动态注册任务什么时候过期？“行程结束”怎么判断？触发器是否主动清理？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评审前定好规则（如“运行时段切换时过期”或“注册方指定TTL”）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产品待定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4-5/4-6 合并任务方案可行性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合并后 VLM 返回只有一组结果怎么处理？VLM 侧能不能支持合并指令？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评审时和 VLM 业务侧研发确认，不可行需备选方案</w:t>
            </w:r>
          </w:p>
        </w:tc>
      </w:tr>
    </w:tbl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p>
      <w:pPr>
        <w:pStyle w:val="Heading3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🟡 需研发评审时出方案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>以下问题产品给出原则，研发定具体细节。</w:t>
      </w:r>
    </w:p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"/>
        <w:gridCol w:w="2300"/>
        <w:gridCol w:w="2800"/>
        <w:gridCol w:w="2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产品原则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研发需给出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研发出方案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信号去抖策略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产品原则：同一信号频繁变化不能重复触发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去抖窗口时长、按信号还是规则维度去抖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研发出方案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冷却策略和队列上限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产品原则：P0 不冷却；队列满时丢低优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P1-P4 冷却时长、队列容量上限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研发出方案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超时降级策略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产品红线：超时不能写伪结果（没看完不能写“无障碍”）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各任务超时参数、超时后是否重试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研发出方案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运行指令协议格式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产品已定：task_id / task_goal / priority / timeout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是否需额外字段、序列化格式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研发出方案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信号库标准化字段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产品已定：key / value / source / 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是否需 TTL / 可信度 / 版本号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研发确认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VLM 并发能力评估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当前约3个（口头），影响队列策略和 Always-on 打断频率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模型推理服务研发正式评估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研发确认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信号库在 AIOS 由谁承接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新建模块还是复用现有存储？读写和订阅接口谁提供？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端侧平台研发给出承接方案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E65100"/>
                <w:sz w:val="20"/>
                <w:szCs w:val="20"/>
              </w:rPr>
              <w:t xml:space="preserve">研发确认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T15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Context 上报由谁统一做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信号库统一上报还是各业务模块分别做？影响接口设计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评审时和研发确认</w:t>
            </w:r>
          </w:p>
        </w:tc>
      </w:tr>
    </w:tbl>
    <w:p>
      <w:pPr>
        <w:spacing w:after="120" w:line="360"/>
      </w:pPr>
      <w:r>
        <w:rPr>
          <w:rFonts w:ascii="PingFang SC" w:cs="PingFang SC" w:eastAsia="PingFang SC" w:hAnsi="PingFang SC"/>
          <w:sz w:val="21"/>
          <w:szCs w:val="21"/>
        </w:rPr>
        <w:t xml:space="preserve"/>
      </w:r>
    </w:p>
    <w:p>
      <w:pPr>
        <w:pStyle w:val="Heading2"/>
        <w:spacing w:after="200" w:before="300"/>
      </w:pPr>
      <w:r>
        <w:rPr>
          <w:rFonts w:ascii="PingFang SC" w:cs="PingFang SC" w:eastAsia="PingFang SC" w:hAnsi="PingFang SC"/>
          <w:b/>
          <w:bCs/>
        </w:rPr>
        <w:t xml:space="preserve">五、排期节点（会议确认）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>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5月下旬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需求评审（需 VLM 业务模块研发一起参会）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6月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>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6月20日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ingFang SC" w:cs="PingFang SC" w:eastAsia="PingFang SC" w:hAnsi="PingFang SC"/>
                <w:b/>
                <w:bCs/>
                <w:color w:val="D93025"/>
                <w:sz w:val="20"/>
                <w:szCs w:val="20"/>
              </w:rPr>
              <w:t xml:space="preserve">触发器与 VLM 联调节点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SC" w:cs="PingFang SC" w:eastAsia="PingFang SC" w:hAnsi="PingFang SC"/>
        <w:color w:val="999999"/>
        <w:sz w:val="16"/>
        <w:szCs w:val="16"/>
      </w:rPr>
      <w:t xml:space="preserve">第 </w:t>
    </w:r>
    <w:r>
      <w:rPr>
        <w:rFonts w:ascii="PingFang SC" w:cs="PingFang SC" w:eastAsia="PingFang SC" w:hAnsi="PingFang S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ingFang SC" w:cs="PingFang SC" w:eastAsia="PingFang SC" w:hAnsi="PingFang SC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ingFang SC" w:cs="PingFang SC" w:eastAsia="PingFang SC" w:hAnsi="PingFang SC"/>
        <w:color w:val="999999"/>
        <w:sz w:val="16"/>
        <w:szCs w:val="16"/>
      </w:rPr>
      <w:t xml:space="preserve">端侧触发器 PRD — 逻辑梳理与 TODO 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PingFang SC" w:cs="PingFang SC" w:eastAsia="PingFang SC" w:hAnsi="PingFang SC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PingFang SC" w:cs="PingFang SC" w:eastAsia="PingFang SC" w:hAnsi="PingFang SC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200"/>
      <w:outlineLvl w:val="2"/>
    </w:pPr>
    <w:rPr>
      <w:rFonts w:ascii="PingFang SC" w:cs="PingFang SC" w:eastAsia="PingFang SC" w:hAnsi="PingFang SC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2026-05-14T06:15:45.723Z</dcterms:created>
  <dcterms:modified xsi:type="dcterms:W3CDTF">2026-05-14T06:15:45.739Z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