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25"/>
        <w:tblLayout w:type="fixed"/>
        <w:tblLook w:firstRow="1" w:lastRow="0" w:firstColumn="0" w:lastColumn="0" w:noHBand="0" w:noVBand="0" w:val="0020"/>
      </w:tblPr>
      <w:tblGrid>
        <w:gridCol w:w="209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5.5576***</w:t>
            </w:r>
          </w:p>
        </w:tc>
        <w:tc>
          <w:tcPr/>
          <w:p>
            <w:pPr>
              <w:pStyle w:val="Compact"/>
            </w:pPr>
            <w:r>
              <w:t xml:space="preserve">5.5121***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(0.0826)</w:t>
            </w:r>
          </w:p>
        </w:tc>
        <w:tc>
          <w:tcPr/>
          <w:p>
            <w:pPr>
              <w:pStyle w:val="Compact"/>
            </w:pPr>
            <w:r>
              <w:t xml:space="preserve">(0.0799)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0.0054***</w:t>
            </w:r>
          </w:p>
        </w:tc>
        <w:tc>
          <w:tcPr/>
          <w:p>
            <w:pPr>
              <w:pStyle w:val="Compact"/>
            </w:pPr>
            <w:r>
              <w:t xml:space="preserve">0.0056***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(0.0008)</w:t>
            </w:r>
          </w:p>
        </w:tc>
        <w:tc>
          <w:tcPr/>
          <w:p>
            <w:pPr>
              <w:pStyle w:val="Compact"/>
            </w:pPr>
            <w:r>
              <w:t xml:space="preserve">(0.0008)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nroom</w:t>
            </w:r>
          </w:p>
        </w:tc>
        <w:tc>
          <w:tcPr/>
          <w:p>
            <w:pPr>
              <w:pStyle w:val="Compact"/>
            </w:pPr>
            <w:r>
              <w:t xml:space="preserve">0.0437+</w:t>
            </w:r>
          </w:p>
        </w:tc>
        <w:tc>
          <w:tcPr/>
          <w:p>
            <w:pPr>
              <w:pStyle w:val="Compact"/>
            </w:pPr>
            <w:r>
              <w:t xml:space="preserve">0.0452+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(0.0235)</w:t>
            </w:r>
          </w:p>
        </w:tc>
        <w:tc>
          <w:tcPr/>
          <w:p>
            <w:pPr>
              <w:pStyle w:val="Compact"/>
            </w:pPr>
            <w:r>
              <w:t xml:space="preserve">(0.0235)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heat1</w:t>
            </w:r>
          </w:p>
        </w:tc>
        <w:tc>
          <w:tcPr/>
          <w:p>
            <w:pPr>
              <w:pStyle w:val="Compact"/>
            </w:pPr>
            <w:r>
              <w:t xml:space="preserve">0.2751***</w:t>
            </w:r>
          </w:p>
        </w:tc>
        <w:tc>
          <w:tcPr/>
          <w:p>
            <w:pPr>
              <w:pStyle w:val="Compact"/>
            </w:pPr>
            <w:r>
              <w:t xml:space="preserve">0.2664***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(0.0467)</w:t>
            </w:r>
          </w:p>
        </w:tc>
        <w:tc>
          <w:tcPr/>
          <w:p>
            <w:pPr>
              <w:pStyle w:val="Compact"/>
            </w:pPr>
            <w:r>
              <w:t xml:space="preserve">(0.0447)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heat2</w:t>
            </w:r>
          </w:p>
        </w:tc>
        <w:tc>
          <w:tcPr/>
          <w:p>
            <w:pPr>
              <w:pStyle w:val="Compact"/>
            </w:pPr>
            <w:r>
              <w:t xml:space="preserve">0.1048*</w:t>
            </w:r>
          </w:p>
        </w:tc>
        <w:tc>
          <w:tcPr/>
          <w:p>
            <w:pPr>
              <w:pStyle w:val="Compact"/>
            </w:pPr>
            <w:r>
              <w:t xml:space="preserve">0.0828+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(0.0468)</w:t>
            </w:r>
          </w:p>
        </w:tc>
        <w:tc>
          <w:tcPr/>
          <w:p>
            <w:pPr>
              <w:pStyle w:val="Compact"/>
            </w:pPr>
            <w:r>
              <w:t xml:space="preserve">(0.0460)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gas1</w:t>
            </w:r>
          </w:p>
        </w:tc>
        <w:tc>
          <w:tcPr/>
          <w:p>
            <w:pPr>
              <w:pStyle w:val="Compact"/>
            </w:pPr>
            <w:r>
              <w:t xml:space="preserve">-0.0680+</w:t>
            </w:r>
          </w:p>
        </w:tc>
        <w:tc>
          <w:tcPr/>
          <w:p>
            <w:pPr>
              <w:pStyle w:val="Compact"/>
            </w:pPr>
            <w:r>
              <w:t xml:space="preserve">-0.0552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(0.0350)</w:t>
            </w:r>
          </w:p>
        </w:tc>
        <w:tc>
          <w:tcPr/>
          <w:p>
            <w:pPr>
              <w:pStyle w:val="Compact"/>
            </w:pPr>
            <w:r>
              <w:t xml:space="preserve">(0.0339)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gas2</w:t>
            </w:r>
          </w:p>
        </w:tc>
        <w:tc>
          <w:tcPr/>
          <w:p>
            <w:pPr>
              <w:pStyle w:val="Compact"/>
            </w:pPr>
            <w:r>
              <w:t xml:space="preserve">-0.3386***</w:t>
            </w:r>
          </w:p>
        </w:tc>
        <w:tc>
          <w:tcPr/>
          <w:p>
            <w:pPr>
              <w:pStyle w:val="Compact"/>
            </w:pPr>
            <w:r>
              <w:t xml:space="preserve">-0.2966***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(0.0487)</w:t>
            </w:r>
          </w:p>
        </w:tc>
        <w:tc>
          <w:tcPr/>
          <w:p>
            <w:pPr>
              <w:pStyle w:val="Compact"/>
            </w:pPr>
            <w:r>
              <w:t xml:space="preserve">(0.0480)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built_yr2</w:t>
            </w:r>
          </w:p>
        </w:tc>
        <w:tc>
          <w:tcPr/>
          <w:p>
            <w:pPr>
              <w:pStyle w:val="Compact"/>
            </w:pPr>
            <w:r>
              <w:t xml:space="preserve">0.1821***</w:t>
            </w:r>
          </w:p>
        </w:tc>
        <w:tc>
          <w:tcPr/>
          <w:p>
            <w:pPr>
              <w:pStyle w:val="Compact"/>
            </w:pPr>
            <w:r>
              <w:t xml:space="preserve">0.1533**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(0.0493)</w:t>
            </w:r>
          </w:p>
        </w:tc>
        <w:tc>
          <w:tcPr/>
          <w:p>
            <w:pPr>
              <w:pStyle w:val="Compact"/>
            </w:pPr>
            <w:r>
              <w:t xml:space="preserve">(0.0477)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built_yr3</w:t>
            </w:r>
          </w:p>
        </w:tc>
        <w:tc>
          <w:tcPr/>
          <w:p>
            <w:pPr>
              <w:pStyle w:val="Compact"/>
            </w:pPr>
            <w:r>
              <w:t xml:space="preserve">0.1715***</w:t>
            </w:r>
          </w:p>
        </w:tc>
        <w:tc>
          <w:tcPr/>
          <w:p>
            <w:pPr>
              <w:pStyle w:val="Compact"/>
            </w:pPr>
            <w:r>
              <w:t xml:space="preserve">0.1360***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(0.0406)</w:t>
            </w:r>
          </w:p>
        </w:tc>
        <w:tc>
          <w:tcPr/>
          <w:p>
            <w:pPr>
              <w:pStyle w:val="Compact"/>
            </w:pPr>
            <w:r>
              <w:t xml:space="preserve">(0.0405)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built_yr4</w:t>
            </w:r>
          </w:p>
        </w:tc>
        <w:tc>
          <w:tcPr/>
          <w:p>
            <w:pPr>
              <w:pStyle w:val="Compact"/>
            </w:pPr>
            <w:r>
              <w:t xml:space="preserve">0.1745***</w:t>
            </w:r>
          </w:p>
        </w:tc>
        <w:tc>
          <w:tcPr/>
          <w:p>
            <w:pPr>
              <w:pStyle w:val="Compact"/>
            </w:pPr>
            <w:r>
              <w:t xml:space="preserve">0.1406**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(0.0478)</w:t>
            </w:r>
          </w:p>
        </w:tc>
        <w:tc>
          <w:tcPr/>
          <w:p>
            <w:pPr>
              <w:pStyle w:val="Compact"/>
            </w:pPr>
            <w:r>
              <w:t xml:space="preserve">(0.0475)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built_yr5</w:t>
            </w:r>
          </w:p>
        </w:tc>
        <w:tc>
          <w:tcPr/>
          <w:p>
            <w:pPr>
              <w:pStyle w:val="Compact"/>
            </w:pPr>
            <w:r>
              <w:t xml:space="preserve">0.4006***</w:t>
            </w:r>
          </w:p>
        </w:tc>
        <w:tc>
          <w:tcPr/>
          <w:p>
            <w:pPr>
              <w:pStyle w:val="Compact"/>
            </w:pPr>
            <w:r>
              <w:t xml:space="preserve">0.3448***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(0.0474)</w:t>
            </w:r>
          </w:p>
        </w:tc>
        <w:tc>
          <w:tcPr/>
          <w:p>
            <w:pPr>
              <w:pStyle w:val="Compact"/>
            </w:pPr>
            <w:r>
              <w:t xml:space="preserve">(0.0478)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built_yr6</w:t>
            </w:r>
          </w:p>
        </w:tc>
        <w:tc>
          <w:tcPr/>
          <w:p>
            <w:pPr>
              <w:pStyle w:val="Compact"/>
            </w:pPr>
            <w:r>
              <w:t xml:space="preserve">0.4794***</w:t>
            </w:r>
          </w:p>
        </w:tc>
        <w:tc>
          <w:tcPr/>
          <w:p>
            <w:pPr>
              <w:pStyle w:val="Compact"/>
            </w:pPr>
            <w:r>
              <w:t xml:space="preserve">0.4199***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(0.0574)</w:t>
            </w:r>
          </w:p>
        </w:tc>
        <w:tc>
          <w:tcPr/>
          <w:p>
            <w:pPr>
              <w:pStyle w:val="Compact"/>
            </w:pPr>
            <w:r>
              <w:t xml:space="preserve">(0.0577)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hhsize</w:t>
            </w:r>
          </w:p>
        </w:tc>
        <w:tc>
          <w:tcPr/>
          <w:p>
            <w:pPr>
              <w:pStyle w:val="Compact"/>
            </w:pPr>
            <w:r>
              <w:t xml:space="preserve">0.0498***</w:t>
            </w:r>
          </w:p>
        </w:tc>
        <w:tc>
          <w:tcPr/>
          <w:p>
            <w:pPr>
              <w:pStyle w:val="Compact"/>
            </w:pPr>
            <w:r>
              <w:t xml:space="preserve">0.0505***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(0.0103)</w:t>
            </w:r>
          </w:p>
        </w:tc>
        <w:tc>
          <w:tcPr/>
          <w:p>
            <w:pPr>
              <w:pStyle w:val="Compact"/>
            </w:pPr>
            <w:r>
              <w:t xml:space="preserve">(0.0102)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</w:t>
            </w:r>
          </w:p>
        </w:tc>
        <w:tc>
          <w:tcPr/>
          <w:p>
            <w:pPr>
              <w:pStyle w:val="Compact"/>
            </w:pPr>
            <w:r>
              <w:t xml:space="preserve">0.2810***</w:t>
            </w:r>
          </w:p>
        </w:tc>
        <w:tc>
          <w:tcPr/>
          <w:p>
            <w:pPr>
              <w:pStyle w:val="Compact"/>
            </w:pPr>
            <w:r>
              <w:t xml:space="preserve">0.3144***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(0.0475)</w:t>
            </w:r>
          </w:p>
        </w:tc>
        <w:tc>
          <w:tcPr/>
          <w:p>
            <w:pPr>
              <w:pStyle w:val="Compact"/>
            </w:pPr>
            <w:r>
              <w:t xml:space="preserve">(0.0491)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factor(mregion)2</w:t>
            </w:r>
          </w:p>
        </w:tc>
        <w:tc>
          <w:tcPr/>
          <w:p>
            <w:pPr>
              <w:pStyle w:val="Compact"/>
            </w:pPr>
            <w:r>
              <w:t xml:space="preserve">-0.0814*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(0.0329)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factor(mregion)3</w:t>
            </w:r>
          </w:p>
        </w:tc>
        <w:tc>
          <w:tcPr/>
          <w:p>
            <w:pPr>
              <w:pStyle w:val="Compact"/>
            </w:pPr>
            <w:r>
              <w:t xml:space="preserve">-0.3153***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factor(mregion)4</w:t>
            </w:r>
          </w:p>
        </w:tc>
        <w:tc>
          <w:tcPr/>
          <w:p>
            <w:pPr>
              <w:pStyle w:val="Compact"/>
            </w:pPr>
            <w:r>
              <w:t xml:space="preserve">-0.0724*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factor(mregion)5</w:t>
            </w:r>
          </w:p>
        </w:tc>
        <w:tc>
          <w:tcPr/>
          <w:p>
            <w:pPr>
              <w:pStyle w:val="Compact"/>
            </w:pPr>
            <w:r>
              <w:t xml:space="preserve">-0.0589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(0.0405)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factor(mregion)6</w:t>
            </w:r>
          </w:p>
        </w:tc>
        <w:tc>
          <w:tcPr/>
          <w:p>
            <w:pPr>
              <w:pStyle w:val="Compact"/>
            </w:pPr>
            <w:r>
              <w:t xml:space="preserve">-0.0743*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factor(region)2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-0.1416**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-0.3610***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-0.0337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-0.1665**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0.0867+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0.0836+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-0.2142*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0.1079*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-0.2271***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-0.1839+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-0.1926**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-0.0706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0.0459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Adj. R²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2042.0000</w:t>
            </w:r>
          </w:p>
        </w:tc>
        <w:tc>
          <w:tcPr/>
          <w:p>
            <w:pPr>
              <w:pStyle w:val="Compact"/>
            </w:pPr>
            <w:r>
              <w:t xml:space="preserve">2042.0000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2693.1417</w:t>
            </w:r>
          </w:p>
        </w:tc>
        <w:tc>
          <w:tcPr/>
          <w:p>
            <w:pPr>
              <w:pStyle w:val="Compact"/>
            </w:pPr>
            <w:r>
              <w:t xml:space="preserve">2598.8736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2805.5754</w:t>
            </w:r>
          </w:p>
        </w:tc>
        <w:tc>
          <w:tcPr/>
          <w:p>
            <w:pPr>
              <w:pStyle w:val="Compact"/>
            </w:pPr>
            <w:r>
              <w:t xml:space="preserve">2767.5241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2025-06-18T01:42:05Z</dcterms:created>
  <dcterms:modified xsi:type="dcterms:W3CDTF">2025-06-18T01:42:05Z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