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Le dispositif de cessation temporaire d'activité : un assouplissement utile, mais structurellement limité</w:t>
      </w:r>
    </w:p>
    <w:p>
      <w:r>
        <w:t xml:space="preserve">L'introduction, par la loi de finances 2018, d'un mécanisme de cessation temporaire d'activité traduit une inflexion pragmatique du droit fiscal marocain face à la vulnérabilité conjoncturelle des entreprises. </w:t>
      </w:r>
      <w:r>
        <w:t>En permettant, sous conditions, un allègement partiel des obligations déclaratives et de certaines charges fiscales, l'article 150 bis du CGI reconnaît qu'une entreprise en tension de trésorerie ne peut être traitée comme un contribuable ordinaire sans risque d'aggraver sa défaillance.</w:t>
      </w:r>
      <w:r>
        <w:rPr>
          <w:rStyle w:val="FootnoteReference"/>
        </w:rPr>
        <w:footnoteReference w:id="1"/>
      </w:r>
    </w:p>
    <w:p>
      <w:r>
        <w:t>Cette logique rejoint, au moins dans son intention, le mouvement plus large de modernisation du droit des entreprises en difficulté engagé par la réforme du Livre V du Code de commerce (loi n° 73-17), centrée sur l'anticipation, la sauvegarde et la continuité de l'activité.</w:t>
      </w:r>
      <w:r>
        <w:rPr>
          <w:rStyle w:val="FootnoteReference"/>
        </w:rPr>
        <w:footnoteReference w:id="2"/>
      </w:r>
    </w:p>
    <w:p>
      <w:r>
        <w:t xml:space="preserve">Sur le plan économique, ce mécanisme présente un mérite réel : il réduit le coût fiscal fixe pesant sur des structures temporairement inactives et limite l'effet procyclique de la contrainte fiscale en phase de fragilité. </w:t>
      </w:r>
      <w:r>
        <w:t>En pratique, les commentaires administratifs et les compilations du CGI confirment un soulagement ciblé (notamment sur la cotisation minimale) tout en maintenant un noyau d'obligations déclaratives.</w:t>
      </w:r>
      <w:r>
        <w:rPr>
          <w:rStyle w:val="FootnoteReference"/>
        </w:rPr>
        <w:footnoteReference w:id="3"/>
      </w:r>
    </w:p>
    <w:p>
      <w:r>
        <w:t xml:space="preserve">Cependant, ce compromis demeure étroit. D'abord, la cessation temporaire d'activité reste un outil de gestion déclarative, non un véritable instrument de restructuration du passif fiscal. </w:t>
      </w:r>
      <w:r>
        <w:t>Elle n'organise ni rééchelonnement systémique de la dette fiscale, ni articulation automatique avec les procédures de prévention ou de traitement judiciaire.</w:t>
      </w:r>
      <w:r>
        <w:rPr>
          <w:rStyle w:val="FootnoteReference"/>
        </w:rPr>
        <w:footnoteReference w:id="4"/>
      </w:r>
    </w:p>
    <w:p>
      <w:r>
        <w:t>Ensuite, le dispositif ne traite pas suffisamment la situation des entreprises qui continuent à opérer sous forte contrainte de liquidité : c'est pourtant dans cette zone grise que se joue, économiquement, la frontière entre redressement et liquidation.</w:t>
      </w:r>
      <w:r>
        <w:rPr>
          <w:rStyle w:val="FootnoteReference"/>
        </w:rPr>
        <w:footnoteReference w:id="5"/>
      </w:r>
    </w:p>
    <w:p>
      <w:r>
        <w:t xml:space="preserve">Cette limite renvoie à une tension structurelle : le droit fiscal est gouverné par l'impératif de recouvrement, tandis que le droit des entreprises en difficulté poursuit la préservation de la valeur productive (emploi, actif immatériel, chaînes de paiement). </w:t>
      </w:r>
      <w:r>
        <w:t>Lorsque ces deux rationalités ne sont pas synchronisées, l'administration fiscale peut devenir un facteur d'accélération de la défaillance.</w:t>
      </w:r>
      <w:r>
        <w:rPr>
          <w:rStyle w:val="FootnoteReference"/>
        </w:rPr>
        <w:footnoteReference w:id="6"/>
      </w:r>
    </w:p>
    <w:p>
      <w:r>
        <w:t>Les travaux récents sur la place du Trésor dans les procédures collectives soulignent précisément la difficulté de concilier protection des créances publiques et continuité de l'entreprise, au Maroc comme dans d'autres systèmes de droit civil.</w:t>
      </w:r>
      <w:r>
        <w:rPr>
          <w:rStyle w:val="FootnoteReference"/>
        </w:rPr>
        <w:footnoteReference w:id="7"/>
      </w:r>
    </w:p>
    <w:p>
      <w:r>
        <w:t>La littérature institutionnelle internationale va dans le même sens : l'efficacité d'un régime d'insolvabilité tient moins à la sévérité des règles qu'à la qualité de la coordination entre prévention précoce, restructuration viable et traitement judiciaire efficient.</w:t>
      </w:r>
      <w:r>
        <w:rPr>
          <w:rStyle w:val="FootnoteReference"/>
        </w:rPr>
        <w:footnoteReference w:id="8"/>
      </w:r>
    </w:p>
    <w:p>
      <w:r>
        <w:t>Appliquée au contexte marocain, cette grille de lecture invite à dépasser une logique de simple parenthèse fiscale pour évoluer vers un véritable statut fiscal de l'entreprise en difficulté, gradué selon le stade de crise (prévention, sauvegarde, redressement, liquidation).</w:t>
      </w:r>
      <w:r>
        <w:rPr>
          <w:rStyle w:val="FootnoteReference"/>
        </w:rPr>
        <w:footnoteReference w:id="9"/>
      </w:r>
    </w:p>
    <w:p>
      <w:r>
        <w:t>Une comparaison ciblée éclaire ce point sans déplacer le centre de gravité hors du Maroc : en France, des mécanismes fiscaux accompagnent certaines transmissions/restructurations d'entreprises ; en Tunisie, la doctrine administrative fiscale a, de longue date, mobilisé l'incitation à la transmission ; en Égypte, la loi n° 11 de 2018 a consolidé le triptyque restructuration-concordat préventif-faillite.</w:t>
      </w:r>
      <w:r>
        <w:rPr>
          <w:rStyle w:val="FootnoteReference"/>
        </w:rPr>
        <w:footnoteReference w:id="10"/>
      </w:r>
    </w:p>
    <w:p>
      <w:r>
        <w:t>Ces expériences demeurent non transposables à l'identique, mais elles confirment qu'une fiscalité de crise performante exige une articulation explicite avec les outils de traitement des difficultés et une gouvernance administrative cohérente.</w:t>
      </w:r>
      <w:r>
        <w:rPr>
          <w:rStyle w:val="FootnoteReference"/>
        </w:rPr>
        <w:footnoteReference w:id="11"/>
      </w:r>
    </w:p>
    <w:p>
      <w:r>
        <w:t xml:space="preserve">En définitive, le dispositif marocain de cessation temporaire d'activité constitue une innovation utile, mais encore périphérique au regard des besoins systémiques des entreprises en difficulté. </w:t>
      </w:r>
      <w:r>
        <w:t>L'enjeu doctrinal est de passer d'un aménagement déclaratif ponctuel à une ingénierie de viabilité, où le recouvrement fiscal s'inscrit dans le temps long de la survie de l'entreprise.</w:t>
      </w:r>
      <w:r>
        <w:rPr>
          <w:rStyle w:val="FootnoteReference"/>
        </w:rPr>
        <w:footnoteReference w:id="12"/>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rPr>
          <w:rStyle w:val="FootnoteReference"/>
        </w:rPr>
        <w:footnoteRef/>
      </w:r>
      <w:r>
        <w:t> Royaume du Maroc, Code général des impôts (éd. consolidées), art. 150 bis, consultable via la Direction générale des impôts (tax.gov.ma).</w:t>
      </w:r>
    </w:p>
  </w:footnote>
  <w:footnote w:id="2">
    <w:p>
      <w:r>
        <w:rPr>
          <w:rStyle w:val="FootnoteReference"/>
        </w:rPr>
        <w:footnoteRef/>
      </w:r>
      <w:r>
        <w:t> Royaume du Maroc, loi n° 73-17 modifiant et complétant la loi n° 15-95 formant Code de commerce (Livre V), BO n° 6667, 23 avril 2018 ; voir aussi Allaki, H. (2022).</w:t>
      </w:r>
    </w:p>
  </w:footnote>
  <w:footnote w:id="3">
    <w:p>
      <w:r>
        <w:rPr>
          <w:rStyle w:val="FootnoteReference"/>
        </w:rPr>
        <w:footnoteRef/>
      </w:r>
      <w:r>
        <w:t> Direction générale des impôts (Maroc), documentation fiscale et pratiques déclaratives relatives à la cessation temporaire d'activité (LF 2018 et consolidations ultérieures du CGI).</w:t>
      </w:r>
    </w:p>
  </w:footnote>
  <w:footnote w:id="4">
    <w:p>
      <w:r>
        <w:rPr>
          <w:rStyle w:val="FootnoteReference"/>
        </w:rPr>
        <w:footnoteRef/>
      </w:r>
      <w:r>
        <w:t> Chraibi, A. (2018). Le redressement des entreprises en difficulté au Maroc : état actuel et perspectives de réforme à la lumière du droit français (Thèse de doctorat).</w:t>
      </w:r>
    </w:p>
  </w:footnote>
  <w:footnote w:id="5">
    <w:p>
      <w:r>
        <w:rPr>
          <w:rStyle w:val="FootnoteReference"/>
        </w:rPr>
        <w:footnoteRef/>
      </w:r>
      <w:r>
        <w:t> Lyazami, N. (2013). La prévention des difficultés des entreprises : étude comparative entre le droit français et le droit marocain (Thèse de doctorat).</w:t>
      </w:r>
    </w:p>
  </w:footnote>
  <w:footnote w:id="6">
    <w:p>
      <w:r>
        <w:rPr>
          <w:rStyle w:val="FootnoteReference"/>
        </w:rPr>
        <w:footnoteRef/>
      </w:r>
      <w:r>
        <w:t> Analyse doctrinale convergente sur la tension entre recouvrement fiscal et sauvegarde de l'entreprise dans les droits contemporains de l'insolvabilité.</w:t>
      </w:r>
    </w:p>
  </w:footnote>
  <w:footnote w:id="7">
    <w:p>
      <w:r>
        <w:rPr>
          <w:rStyle w:val="FootnoteReference"/>
        </w:rPr>
        <w:footnoteRef/>
      </w:r>
      <w:r>
        <w:t> Abassi, M. (2023). La protection du Trésor dans les systèmes des procédures collectives marocain et OHADA (Thèse de doctorat).</w:t>
      </w:r>
    </w:p>
  </w:footnote>
  <w:footnote w:id="8">
    <w:p>
      <w:r>
        <w:rPr>
          <w:rStyle w:val="FootnoteReference"/>
        </w:rPr>
        <w:footnoteRef/>
      </w:r>
      <w:r>
        <w:t> World Bank. (2021). Principles for Effective Insolvency and Creditor/Debtor Regimes (revised edition).</w:t>
      </w:r>
    </w:p>
  </w:footnote>
  <w:footnote w:id="9">
    <w:p>
      <w:r>
        <w:rPr>
          <w:rStyle w:val="FootnoteReference"/>
        </w:rPr>
        <w:footnoteRef/>
      </w:r>
      <w:r>
        <w:t> UNCITRAL. (2004-2021). Legislative Guide on Insolvency Law (Parts I-V).</w:t>
      </w:r>
    </w:p>
  </w:footnote>
  <w:footnote w:id="10">
    <w:p>
      <w:r>
        <w:rPr>
          <w:rStyle w:val="FootnoteReference"/>
        </w:rPr>
        <w:footnoteRef/>
      </w:r>
      <w:r>
        <w:t> France : CGI, art. 238 quindecies (transmission d'entreprise). Tunisie : DGELF, note commune n° 33/2007. Égypte : Law No. 11 of 2018 on Restructuring, Preventive Composition and Bankruptcy.</w:t>
      </w:r>
    </w:p>
  </w:footnote>
  <w:footnote w:id="11">
    <w:p>
      <w:r>
        <w:rPr>
          <w:rStyle w:val="FootnoteReference"/>
        </w:rPr>
        <w:footnoteRef/>
      </w:r>
      <w:r>
        <w:t> La comparaison est ici analytique et limitée : elle vise l'intelligibilité des choix normatifs marocains, sans prétendre à une transposition mécanique.</w:t>
      </w:r>
    </w:p>
  </w:footnote>
  <w:footnote w:id="12">
    <w:p>
      <w:r>
        <w:rPr>
          <w:rStyle w:val="FootnoteReference"/>
        </w:rPr>
        <w:footnoteRef/>
      </w:r>
      <w:r>
        <w:t> Perspective de réforme : renforcer l'articulation entre administration fiscale, juridictions commerciales et instruments de restructuration pour préserver la continuité économique.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