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Le dispositif de cessation temporaire d'activité : un assouplissement utile, mais structurellement limité</w:t>
      </w:r>
    </w:p>
    <w:p>
      <w:r>
        <w:t>L'introduction, par la loi de finances 2018, d'un mécanisme de cessation temporaire d'activité traduit une inflexion pragmatique du droit fiscal marocain face à la vulnérabilité conjoncturelle des entreprises. En permettant, sous conditions, un allègement partiel des obligations déclaratives et de certaines charges fiscales, l'article 150 bis du CGI reconnaît qu'une entreprise en tension de trésorerie ne peut être traitée comme un contribuable ordinaire sans risque d'aggraver sa défaillance.</w:t>
      </w:r>
      <w:r>
        <w:rPr>
          <w:rStyle w:val="FootnoteReference"/>
        </w:rPr>
        <w:footnoteReference w:id="1"/>
      </w:r>
    </w:p>
    <w:p>
      <w:r>
        <w:t>Sur le plan économique, ce mécanisme présente un mérite réel : il réduit le coût fiscal fixe pesant sur des structures temporairement inactives et limite l'effet procyclique de la contrainte fiscale en phase de fragilité. En pratique, l'allègement porte notamment sur la cotisation minimale, tandis qu'un noyau d'obligations déclaratives demeure.</w:t>
      </w:r>
      <w:r>
        <w:rPr>
          <w:rStyle w:val="FootnoteReference"/>
        </w:rPr>
        <w:footnoteReference w:id="2"/>
      </w:r>
    </w:p>
    <w:p>
      <w:r>
        <w:t>Ce compromis reste toutefois étroit. La cessation temporaire d'activité demeure un outil de gestion déclarative ; elle n'organise ni restructuration complète du passif fiscal, ni traitement global de la viabilité de l'entreprise. L'articulation avec les mécanismes de prévention et de traitement des difficultés doit donc être lue en lien avec l'architecture du Livre V du Code de commerce.</w:t>
      </w:r>
      <w:r>
        <w:rPr>
          <w:rStyle w:val="FootnoteReference"/>
        </w:rPr>
        <w:footnoteReference w:id="3"/>
      </w:r>
    </w:p>
    <w:p>
      <w:r>
        <w:t>À cet égard, la logique du droit des entreprises en difficulté est orientée vers la continuité de l'exploitation et la recherche d'une solution de redressement chaque fois qu'elle est économiquement crédible. Cette finalité impose une coordination plus serrée entre administration fiscale, juridictions commerciales et acteurs du redressement.</w:t>
      </w:r>
      <w:r>
        <w:rPr>
          <w:rStyle w:val="FootnoteReference"/>
        </w:rPr>
        <w:footnoteReference w:id="4"/>
      </w:r>
    </w:p>
    <w:p>
      <w:r>
        <w:t>La tension de fond demeure : d'un côté, l'impératif de recouvrement fiscal ; de l'autre, l'objectif de préservation de la valeur productive (emploi, actifs, relations d'affaires). En l'état, la norme fiscale marocaine sanctionne aussi les infractions liées à la cessation temporaire, ce qui confirme que l'assouplissement n'efface pas la logique de contrôle.</w:t>
      </w:r>
      <w:r>
        <w:rPr>
          <w:rStyle w:val="FootnoteReference"/>
        </w:rPr>
        <w:footnoteReference w:id="5"/>
      </w:r>
    </w:p>
    <w:p>
      <w:r>
        <w:t>D'un point de vue de théorie juridique, la question est donc celle de l'équilibre : comment maintenir la discipline fiscale sans provoquer une destruction prématurée de valeur ? Les standards internationaux d'insolvabilité insistent précisément sur cette recherche d'équilibre entre efficacité économique, protection des créanciers et considérations de politique publique.</w:t>
      </w:r>
      <w:r>
        <w:rPr>
          <w:rStyle w:val="FootnoteReference"/>
        </w:rPr>
        <w:footnoteReference w:id="6"/>
      </w:r>
    </w:p>
    <w:p>
      <w:r>
        <w:t>La doctrine institutionnelle récente insiste également sur la nécessité de mécanismes adaptés aux très petites et petites entreprises, dont la fragilité de trésorerie rend cruciale la simplicité procédurale, le coût réduit du traitement et l'accès rapide aux solutions de restructuration ou de sortie ordonnée.</w:t>
      </w:r>
      <w:r>
        <w:rPr>
          <w:rStyle w:val="FootnoteReference"/>
        </w:rPr>
        <w:footnoteReference w:id="7"/>
      </w:r>
    </w:p>
    <w:p>
      <w:r>
        <w:t>Appliquée au contexte marocain, cette grille de lecture invite à dépasser une logique de parenthèse fiscale pour construire un véritable statut fiscal de l'entreprise en difficulté, gradué selon le stade de crise (prévention, redressement, liquidation) et articulé avec les instruments du droit commercial.</w:t>
      </w:r>
      <w:r>
        <w:rPr>
          <w:rStyle w:val="FootnoteReference"/>
        </w:rPr>
        <w:footnoteReference w:id="8"/>
      </w:r>
    </w:p>
    <w:p>
      <w:r>
        <w:t>En définitive, la cessation temporaire d'activité constitue une innovation utile, mais encore périphérique au regard des besoins systémiques des entreprises en difficulté. La réforme prioritaire consiste à intégrer la temporalité du recouvrement fiscal dans une stratégie de viabilité de l'entreprise, afin de concilier soutenabilité budgétaire et continuité économique.</w:t>
      </w:r>
      <w:r>
        <w:rPr>
          <w:rStyle w:val="FootnoteReference"/>
        </w:rPr>
        <w:footnoteReference w:id="9"/>
      </w:r>
    </w:p>
    <w:p>
      <w:r>
        <w:br w:type="page"/>
      </w:r>
    </w:p>
    <w:p>
      <w:pPr>
        <w:pStyle w:val="Heading1"/>
      </w:pPr>
      <w:r>
        <w:t>Références bibliographiques</w:t>
      </w:r>
    </w:p>
    <w:p>
      <w:pPr>
        <w:pStyle w:val="ListParagraph"/>
      </w:pPr>
      <w:r>
        <w:t>Royaume du Maroc, Direction Générale des Impôts. (2024). Code général des impôts (édition 2024 consolidée). PDF exploité : CGI2024FR.pdf.</w:t>
      </w:r>
    </w:p>
    <w:p>
      <w:pPr>
        <w:pStyle w:val="ListParagraph"/>
      </w:pPr>
      <w:r>
        <w:t>Royaume du Maroc. (1996, mod.). Code de commerce (Livre V - difficultés de l'entreprise), édition PDF consolidée consultée.</w:t>
      </w:r>
    </w:p>
    <w:p>
      <w:pPr>
        <w:pStyle w:val="ListParagraph"/>
      </w:pPr>
      <w:r>
        <w:t>UNCITRAL. (2005). Legislative Guide on Insolvency Law (United Nations publication, 05-80722).</w:t>
      </w:r>
    </w:p>
    <w:p>
      <w:pPr>
        <w:pStyle w:val="ListParagraph"/>
      </w:pPr>
      <w:r>
        <w:t>World Bank. (2021). Principles for Effective Insolvency and Creditor/Debtor Regimes (Revised Edition).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rStyle w:val="FootnoteReference"/>
        </w:rPr>
        <w:footnoteRef/>
      </w:r>
      <w:r>
        <w:t> Royaume du Maroc, DGI, Code général des impôts, éd. 2024, art. 150 bis, PDF p. 269 (pagination interne : p. 270).</w:t>
      </w:r>
    </w:p>
  </w:footnote>
  <w:footnote w:id="2">
    <w:p>
      <w:r>
        <w:rPr>
          <w:rStyle w:val="FootnoteReference"/>
        </w:rPr>
        <w:footnoteRef/>
      </w:r>
      <w:r>
        <w:t> Royaume du Maroc, DGI, Code général des impôts, éd. 2024, art. 144, PDF p. 256 (référence à l'art. 150 bis) ; voir aussi art. 150 bis, PDF p. 269.</w:t>
      </w:r>
    </w:p>
  </w:footnote>
  <w:footnote w:id="3">
    <w:p>
      <w:r>
        <w:rPr>
          <w:rStyle w:val="FootnoteReference"/>
        </w:rPr>
        <w:footnoteRef/>
      </w:r>
      <w:r>
        <w:t> Code de commerce marocain (Livre V, difficultés de l'entreprise), Titres I-II, PDF pp. 100-102 (prévention interne/externe et ouverture).</w:t>
      </w:r>
    </w:p>
  </w:footnote>
  <w:footnote w:id="4">
    <w:p>
      <w:r>
        <w:rPr>
          <w:rStyle w:val="FootnoteReference"/>
        </w:rPr>
        <w:footnoteRef/>
      </w:r>
      <w:r>
        <w:t> Code de commerce marocain (Livre V), redressement judiciaire et continuation de l'exploitation, PDF pp. 104-108 (notamment art. 571 et s.).</w:t>
      </w:r>
    </w:p>
  </w:footnote>
  <w:footnote w:id="5">
    <w:p>
      <w:r>
        <w:rPr>
          <w:rStyle w:val="FootnoteReference"/>
        </w:rPr>
        <w:footnoteRef/>
      </w:r>
      <w:r>
        <w:t> Code général des impôts, éd. 2024, art. 232-VIII-17°, PDF p. 413 ; et contrôle de la période de cessation temporaire, PDF p. 380.</w:t>
      </w:r>
    </w:p>
  </w:footnote>
  <w:footnote w:id="6">
    <w:p>
      <w:r>
        <w:rPr>
          <w:rStyle w:val="FootnoteReference"/>
        </w:rPr>
        <w:footnoteRef/>
      </w:r>
      <w:r>
        <w:t> UNCITRAL, Legislative Guide on Insolvency Law (2005), p. 15 (objet et équilibre), pp. 23-25 (objectifs et balance liquidation/réorganisation).</w:t>
      </w:r>
    </w:p>
  </w:footnote>
  <w:footnote w:id="7">
    <w:p>
      <w:r>
        <w:rPr>
          <w:rStyle w:val="FootnoteReference"/>
        </w:rPr>
        <w:footnoteRef/>
      </w:r>
      <w:r>
        <w:t> World Bank, Principles for Effective Insolvency and Creditor/Debtor Regimes (2021), PDF p. 5 (Background), p. 10 (flexibilité des principes), pp. 36-37 (C19-C20 sur procédures simplifiées/MSE).</w:t>
      </w:r>
    </w:p>
  </w:footnote>
  <w:footnote w:id="8">
    <w:p>
      <w:r>
        <w:rPr>
          <w:rStyle w:val="FootnoteReference"/>
        </w:rPr>
        <w:footnoteRef/>
      </w:r>
      <w:r>
        <w:t> UNCITRAL (2005), pp. 23-25 ; World Bank (2021), pp. 36-37 : convergence sur l'articulation entre efficacité, coûts procéduraux et continuité économique.</w:t>
      </w:r>
    </w:p>
  </w:footnote>
  <w:footnote w:id="9">
    <w:p>
      <w:r>
        <w:rPr>
          <w:rStyle w:val="FootnoteReference"/>
        </w:rPr>
        <w:footnoteRef/>
      </w:r>
      <w:r>
        <w:t> Code de commerce marocain, PDF pp. 100-108 ; CGI 2024, PDF pp. 256, 269, 380 et 413.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