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drawing>
          <wp:inline distT="0" distB="0" distL="0" distR="0">
            <wp:extent cx="12192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19200" cy="1209675"/>
                    </a:xfrm>
                    <a:prstGeom prst="rect">
                      <a:avLst/>
                    </a:prstGeom>
                  </pic:spPr>
                </pic:pic>
              </a:graphicData>
            </a:graphic>
          </wp:inline>
        </w:drawing>
      </w:r>
    </w:p>
    <w:p>
      <w:pPr>
        <w:spacing w:after="0" w:before="200"/>
        <w:jc w:val="center"/>
      </w:pPr>
      <w:r>
        <w:rPr>
          <w:rFonts w:ascii="Calibri" w:cs="Calibri" w:eastAsia="Calibri" w:hAnsi="Calibri"/>
          <w:b/>
          <w:bCs/>
          <w:color w:val="8C7200"/>
          <w:spacing w:val="20"/>
          <w:sz w:val="24"/>
          <w:szCs w:val="24"/>
        </w:rPr>
        <w:t xml:space="preserve">CLUB DE LEONES QUINTA NORMAL</w:t>
      </w:r>
    </w:p>
    <w:p>
      <w:pPr>
        <w:spacing w:after="0" w:before="120"/>
        <w:jc w:val="center"/>
      </w:pPr>
      <w:r>
        <w:rPr>
          <w:rFonts w:ascii="Calibri" w:cs="Calibri" w:eastAsia="Calibri" w:hAnsi="Calibri"/>
          <w:color w:val="5B5B5B"/>
          <w:sz w:val="21"/>
          <w:szCs w:val="21"/>
        </w:rPr>
        <w:t xml:space="preserve">Sede “Leones en Acción” · Dependencias Z-144</w:t>
      </w:r>
    </w:p>
    <w:p>
      <w:pPr>
        <w:spacing w:after="0" w:before="700"/>
        <w:jc w:val="center"/>
      </w:pPr>
      <w:r>
        <w:rPr>
          <w:rFonts w:ascii="Calibri" w:cs="Calibri" w:eastAsia="Calibri" w:hAnsi="Calibri"/>
          <w:b/>
          <w:bCs/>
          <w:color w:val="002D55"/>
          <w:sz w:val="56"/>
          <w:szCs w:val="56"/>
        </w:rPr>
        <w:t xml:space="preserve">MODELO DE ARRIENDO</w:t>
      </w:r>
    </w:p>
    <w:p>
      <w:pPr>
        <w:spacing w:after="0" w:before="60"/>
        <w:jc w:val="center"/>
      </w:pPr>
      <w:r>
        <w:rPr>
          <w:rFonts w:ascii="Calibri" w:cs="Calibri" w:eastAsia="Calibri" w:hAnsi="Calibri"/>
          <w:b/>
          <w:bCs/>
          <w:color w:val="00529B"/>
          <w:sz w:val="40"/>
          <w:szCs w:val="40"/>
        </w:rPr>
        <w:t xml:space="preserve">Plan piloto de 90 días</w:t>
      </w:r>
    </w:p>
    <w:p>
      <w:pPr>
        <w:spacing w:after="0" w:before="200"/>
        <w:jc w:val="center"/>
      </w:pPr>
      <w:r>
        <w:rPr>
          <w:rFonts w:ascii="Calibri" w:cs="Calibri" w:eastAsia="Calibri" w:hAnsi="Calibri"/>
          <w:i/>
          <w:iCs/>
          <w:color w:val="5B5B5B"/>
          <w:sz w:val="22"/>
          <w:szCs w:val="22"/>
        </w:rPr>
        <w:t xml:space="preserve">Propuesta de valor, tarifario y gobierno operativo para la puesta en marcha del arriendo de espacios</w:t>
      </w:r>
    </w:p>
    <w:p>
      <w:pPr>
        <w:spacing w:after="7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none" w:color="FFFFFF" w:sz="0"/>
              <w:left w:val="none" w:color="FFFFFF" w:sz="0"/>
              <w:bottom w:val="single" w:color="D9D3E3" w:sz="4"/>
              <w:right w:val="none" w:color="FFFFFF" w:sz="0"/>
            </w:tcBorders>
            <w:shd w:fill="FFFFFF" w:color="auto" w:val="clear"/>
            <w:tcMar>
              <w:top w:type="dxa" w:w="100"/>
              <w:left w:type="dxa" w:w="0"/>
              <w:bottom w:type="dxa" w:w="100"/>
              <w:right w:type="dxa" w:w="120"/>
            </w:tcMar>
          </w:tcPr>
          <w:p>
            <w:r>
              <w:rPr>
                <w:rFonts w:ascii="Calibri" w:cs="Calibri" w:eastAsia="Calibri" w:hAnsi="Calibri"/>
                <w:b/>
                <w:bCs/>
                <w:color w:val="00529B"/>
                <w:sz w:val="19"/>
                <w:szCs w:val="19"/>
              </w:rPr>
              <w:t xml:space="preserve">Documento base</w:t>
            </w:r>
          </w:p>
        </w:tc>
        <w:tc>
          <w:tcPr>
            <w:tcW w:type="dxa" w:w="6438"/>
            <w:tcBorders>
              <w:top w:val="none" w:color="FFFFFF" w:sz="0"/>
              <w:left w:val="none" w:color="FFFFFF" w:sz="0"/>
              <w:bottom w:val="single" w:color="D9D3E3" w:sz="4"/>
              <w:right w:val="none" w:color="FFFFFF" w:sz="0"/>
            </w:tcBorders>
            <w:shd w:fill="FFFFFF" w:color="auto" w:val="clear"/>
            <w:tcMar>
              <w:top w:type="dxa" w:w="100"/>
              <w:left w:type="dxa" w:w="0"/>
              <w:bottom w:type="dxa" w:w="100"/>
              <w:right w:type="dxa" w:w="0"/>
            </w:tcMar>
          </w:tcPr>
          <w:p>
            <w:r>
              <w:rPr>
                <w:rFonts w:ascii="Calibri" w:cs="Calibri" w:eastAsia="Calibri" w:hAnsi="Calibri"/>
                <w:color w:val="222222"/>
                <w:sz w:val="19"/>
                <w:szCs w:val="19"/>
              </w:rPr>
              <w:t xml:space="preserve">Informe técnico preliminar del levantamiento Z-144 (Libardo Fernández, 1 de septiembre de 2026)</w:t>
            </w:r>
          </w:p>
        </w:tc>
      </w:tr>
      <w:tr>
        <w:tc>
          <w:tcPr>
            <w:tcW w:type="dxa" w:w="3200"/>
            <w:tcBorders>
              <w:top w:val="none" w:color="FFFFFF" w:sz="0"/>
              <w:left w:val="none" w:color="FFFFFF" w:sz="0"/>
              <w:bottom w:val="single" w:color="D9D3E3" w:sz="4"/>
              <w:right w:val="none" w:color="FFFFFF" w:sz="0"/>
            </w:tcBorders>
            <w:shd w:fill="FFFFFF" w:color="auto" w:val="clear"/>
            <w:tcMar>
              <w:top w:type="dxa" w:w="100"/>
              <w:left w:type="dxa" w:w="0"/>
              <w:bottom w:type="dxa" w:w="100"/>
              <w:right w:type="dxa" w:w="120"/>
            </w:tcMar>
          </w:tcPr>
          <w:p>
            <w:r>
              <w:rPr>
                <w:rFonts w:ascii="Calibri" w:cs="Calibri" w:eastAsia="Calibri" w:hAnsi="Calibri"/>
                <w:b/>
                <w:bCs/>
                <w:color w:val="00529B"/>
                <w:sz w:val="19"/>
                <w:szCs w:val="19"/>
              </w:rPr>
              <w:t xml:space="preserve">Preparado para</w:t>
            </w:r>
          </w:p>
        </w:tc>
        <w:tc>
          <w:tcPr>
            <w:tcW w:type="dxa" w:w="6438"/>
            <w:tcBorders>
              <w:top w:val="none" w:color="FFFFFF" w:sz="0"/>
              <w:left w:val="none" w:color="FFFFFF" w:sz="0"/>
              <w:bottom w:val="single" w:color="D9D3E3" w:sz="4"/>
              <w:right w:val="none" w:color="FFFFFF" w:sz="0"/>
            </w:tcBorders>
            <w:shd w:fill="FFFFFF" w:color="auto" w:val="clear"/>
            <w:tcMar>
              <w:top w:type="dxa" w:w="100"/>
              <w:left w:type="dxa" w:w="0"/>
              <w:bottom w:type="dxa" w:w="100"/>
              <w:right w:type="dxa" w:w="0"/>
            </w:tcMar>
          </w:tcPr>
          <w:p>
            <w:r>
              <w:rPr>
                <w:rFonts w:ascii="Calibri" w:cs="Calibri" w:eastAsia="Calibri" w:hAnsi="Calibri"/>
                <w:color w:val="222222"/>
                <w:sz w:val="19"/>
                <w:szCs w:val="19"/>
              </w:rPr>
              <w:t xml:space="preserve">Junta Directiva y socios del Club de Leones Quinta Normal</w:t>
            </w:r>
          </w:p>
        </w:tc>
      </w:tr>
      <w:tr>
        <w:tc>
          <w:tcPr>
            <w:tcW w:type="dxa" w:w="3200"/>
            <w:tcBorders>
              <w:top w:val="none" w:color="FFFFFF" w:sz="0"/>
              <w:left w:val="none" w:color="FFFFFF" w:sz="0"/>
              <w:bottom w:val="single" w:color="D9D3E3" w:sz="4"/>
              <w:right w:val="none" w:color="FFFFFF" w:sz="0"/>
            </w:tcBorders>
            <w:shd w:fill="FFFFFF" w:color="auto" w:val="clear"/>
            <w:tcMar>
              <w:top w:type="dxa" w:w="100"/>
              <w:left w:type="dxa" w:w="0"/>
              <w:bottom w:type="dxa" w:w="100"/>
              <w:right w:type="dxa" w:w="120"/>
            </w:tcMar>
          </w:tcPr>
          <w:p>
            <w:r>
              <w:rPr>
                <w:rFonts w:ascii="Calibri" w:cs="Calibri" w:eastAsia="Calibri" w:hAnsi="Calibri"/>
                <w:b/>
                <w:bCs/>
                <w:color w:val="00529B"/>
                <w:sz w:val="19"/>
                <w:szCs w:val="19"/>
              </w:rPr>
              <w:t xml:space="preserve">Estado</w:t>
            </w:r>
          </w:p>
        </w:tc>
        <w:tc>
          <w:tcPr>
            <w:tcW w:type="dxa" w:w="6438"/>
            <w:tcBorders>
              <w:top w:val="none" w:color="FFFFFF" w:sz="0"/>
              <w:left w:val="none" w:color="FFFFFF" w:sz="0"/>
              <w:bottom w:val="single" w:color="D9D3E3" w:sz="4"/>
              <w:right w:val="none" w:color="FFFFFF" w:sz="0"/>
            </w:tcBorders>
            <w:shd w:fill="FFFFFF" w:color="auto" w:val="clear"/>
            <w:tcMar>
              <w:top w:type="dxa" w:w="100"/>
              <w:left w:type="dxa" w:w="0"/>
              <w:bottom w:type="dxa" w:w="100"/>
              <w:right w:type="dxa" w:w="0"/>
            </w:tcMar>
          </w:tcPr>
          <w:p>
            <w:r>
              <w:rPr>
                <w:rFonts w:ascii="Calibri" w:cs="Calibri" w:eastAsia="Calibri" w:hAnsi="Calibri"/>
                <w:color w:val="222222"/>
                <w:sz w:val="19"/>
                <w:szCs w:val="19"/>
              </w:rPr>
              <w:t xml:space="preserve">Versión para deliberación — pendiente de aprobación</w:t>
            </w:r>
          </w:p>
        </w:tc>
      </w:tr>
      <w:tr>
        <w:tc>
          <w:tcPr>
            <w:tcW w:type="dxa" w:w="3200"/>
            <w:tcBorders>
              <w:top w:val="none" w:color="FFFFFF" w:sz="0"/>
              <w:left w:val="none" w:color="FFFFFF" w:sz="0"/>
              <w:bottom w:val="single" w:color="D9D3E3" w:sz="4"/>
              <w:right w:val="none" w:color="FFFFFF" w:sz="0"/>
            </w:tcBorders>
            <w:shd w:fill="FFFFFF" w:color="auto" w:val="clear"/>
            <w:tcMar>
              <w:top w:type="dxa" w:w="100"/>
              <w:left w:type="dxa" w:w="0"/>
              <w:bottom w:type="dxa" w:w="100"/>
              <w:right w:type="dxa" w:w="120"/>
            </w:tcMar>
          </w:tcPr>
          <w:p>
            <w:r>
              <w:rPr>
                <w:rFonts w:ascii="Calibri" w:cs="Calibri" w:eastAsia="Calibri" w:hAnsi="Calibri"/>
                <w:b/>
                <w:bCs/>
                <w:color w:val="00529B"/>
                <w:sz w:val="19"/>
                <w:szCs w:val="19"/>
              </w:rPr>
              <w:t xml:space="preserve">Fecha</w:t>
            </w:r>
          </w:p>
        </w:tc>
        <w:tc>
          <w:tcPr>
            <w:tcW w:type="dxa" w:w="6438"/>
            <w:tcBorders>
              <w:top w:val="none" w:color="FFFFFF" w:sz="0"/>
              <w:left w:val="none" w:color="FFFFFF" w:sz="0"/>
              <w:bottom w:val="single" w:color="D9D3E3" w:sz="4"/>
              <w:right w:val="none" w:color="FFFFFF" w:sz="0"/>
            </w:tcBorders>
            <w:shd w:fill="FFFFFF" w:color="auto" w:val="clear"/>
            <w:tcMar>
              <w:top w:type="dxa" w:w="100"/>
              <w:left w:type="dxa" w:w="0"/>
              <w:bottom w:type="dxa" w:w="100"/>
              <w:right w:type="dxa" w:w="0"/>
            </w:tcMar>
          </w:tcPr>
          <w:p>
            <w:r>
              <w:rPr>
                <w:rFonts w:ascii="Calibri" w:cs="Calibri" w:eastAsia="Calibri" w:hAnsi="Calibri"/>
                <w:color w:val="222222"/>
                <w:sz w:val="19"/>
                <w:szCs w:val="19"/>
              </w:rPr>
              <w:t xml:space="preserve">Septiembre de 2026</w:t>
            </w:r>
          </w:p>
        </w:tc>
      </w:tr>
    </w:tbl>
    <w:p>
      <w:r>
        <w:br w:type="page"/>
      </w:r>
    </w:p>
    <w:p>
      <w:pPr>
        <w:pStyle w:val="Heading1"/>
        <w:pBdr>
          <w:bottom w:val="single" w:color="FFCF00" w:sz="8" w:space="6"/>
        </w:pBdr>
        <w:spacing w:after="200"/>
      </w:pPr>
      <w:r>
        <w:rPr>
          <w:rFonts w:ascii="Calibri" w:cs="Calibri" w:eastAsia="Calibri" w:hAnsi="Calibri"/>
          <w:b/>
          <w:bCs/>
          <w:color w:val="002D55"/>
          <w:sz w:val="30"/>
          <w:szCs w:val="30"/>
        </w:rPr>
        <w:t xml:space="preserve">Resumen ejecutivo</w:t>
      </w:r>
    </w:p>
    <w:p>
      <w:pPr>
        <w:spacing w:after="160" w:line="276"/>
      </w:pPr>
      <w:r>
        <w:rPr>
          <w:rFonts w:ascii="Calibri" w:cs="Calibri" w:eastAsia="Calibri" w:hAnsi="Calibri"/>
          <w:color w:val="222222"/>
          <w:sz w:val="21"/>
          <w:szCs w:val="21"/>
        </w:rPr>
        <w:t xml:space="preserve">El levantamiento técnico encabezado por Libardo Fernández entregó las dimensiones, la distribución preliminar y las necesidades de conservación del inmueble. Este informe no repite ese trabajo: lo toma como límite técnico y desarrolla la parte que faltaba para convertirlo en una decisión comercial y operativa concreta.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color="FFFFFF" w:sz="0"/>
              <w:left w:val="none" w:color="FFFFFF" w:sz="0"/>
              <w:bottom w:val="none" w:color="FFFFFF" w:sz="0"/>
              <w:right w:val="single" w:color="FFFFFF" w:sz="4"/>
            </w:tcBorders>
            <w:shd w:fill="E8F0F8" w:color="auto" w:val="clear"/>
            <w:tcMar>
              <w:top w:type="dxa" w:w="160"/>
              <w:left w:type="dxa" w:w="100"/>
              <w:bottom w:type="dxa" w:w="160"/>
              <w:right w:type="dxa" w:w="100"/>
            </w:tcMar>
          </w:tcPr>
          <w:p>
            <w:pPr>
              <w:spacing w:after="40"/>
              <w:jc w:val="center"/>
            </w:pPr>
            <w:r>
              <w:rPr>
                <w:rFonts w:ascii="Calibri" w:cs="Calibri" w:eastAsia="Calibri" w:hAnsi="Calibri"/>
                <w:b/>
                <w:bCs/>
                <w:color w:val="002D55"/>
                <w:sz w:val="28"/>
                <w:szCs w:val="28"/>
              </w:rPr>
              <w:t xml:space="preserve">90 días</w:t>
            </w:r>
          </w:p>
          <w:p>
            <w:pPr>
              <w:jc w:val="center"/>
            </w:pPr>
            <w:r>
              <w:rPr>
                <w:rFonts w:ascii="Calibri" w:cs="Calibri" w:eastAsia="Calibri" w:hAnsi="Calibri"/>
                <w:color w:val="5B5B5B"/>
                <w:sz w:val="16"/>
                <w:szCs w:val="16"/>
              </w:rPr>
              <w:t xml:space="preserve">Duración del piloto</w:t>
            </w:r>
          </w:p>
        </w:tc>
        <w:tc>
          <w:tcPr>
            <w:tcW w:type="dxa" w:w="2409"/>
            <w:tcBorders>
              <w:top w:val="none" w:color="FFFFFF" w:sz="0"/>
              <w:left w:val="none" w:color="FFFFFF" w:sz="0"/>
              <w:bottom w:val="none" w:color="FFFFFF" w:sz="0"/>
              <w:right w:val="single" w:color="FFFFFF" w:sz="4"/>
            </w:tcBorders>
            <w:shd w:fill="E8F0F8" w:color="auto" w:val="clear"/>
            <w:tcMar>
              <w:top w:type="dxa" w:w="160"/>
              <w:left w:type="dxa" w:w="100"/>
              <w:bottom w:type="dxa" w:w="160"/>
              <w:right w:type="dxa" w:w="100"/>
            </w:tcMar>
          </w:tcPr>
          <w:p>
            <w:pPr>
              <w:spacing w:after="40"/>
              <w:jc w:val="center"/>
            </w:pPr>
            <w:r>
              <w:rPr>
                <w:rFonts w:ascii="Calibri" w:cs="Calibri" w:eastAsia="Calibri" w:hAnsi="Calibri"/>
                <w:b/>
                <w:bCs/>
                <w:color w:val="002D55"/>
                <w:sz w:val="28"/>
                <w:szCs w:val="28"/>
              </w:rPr>
              <w:t xml:space="preserve">87 m²</w:t>
            </w:r>
          </w:p>
          <w:p>
            <w:pPr>
              <w:jc w:val="center"/>
            </w:pPr>
            <w:r>
              <w:rPr>
                <w:rFonts w:ascii="Calibri" w:cs="Calibri" w:eastAsia="Calibri" w:hAnsi="Calibri"/>
                <w:color w:val="5B5B5B"/>
                <w:sz w:val="16"/>
                <w:szCs w:val="16"/>
              </w:rPr>
              <w:t xml:space="preserve">Salón principal</w:t>
            </w:r>
          </w:p>
        </w:tc>
        <w:tc>
          <w:tcPr>
            <w:tcW w:type="dxa" w:w="2409"/>
            <w:tcBorders>
              <w:top w:val="none" w:color="FFFFFF" w:sz="0"/>
              <w:left w:val="none" w:color="FFFFFF" w:sz="0"/>
              <w:bottom w:val="none" w:color="FFFFFF" w:sz="0"/>
              <w:right w:val="single" w:color="FFFFFF" w:sz="4"/>
            </w:tcBorders>
            <w:shd w:fill="E8F0F8" w:color="auto" w:val="clear"/>
            <w:tcMar>
              <w:top w:type="dxa" w:w="160"/>
              <w:left w:type="dxa" w:w="100"/>
              <w:bottom w:type="dxa" w:w="160"/>
              <w:right w:type="dxa" w:w="100"/>
            </w:tcMar>
          </w:tcPr>
          <w:p>
            <w:pPr>
              <w:spacing w:after="40"/>
              <w:jc w:val="center"/>
            </w:pPr>
            <w:r>
              <w:rPr>
                <w:rFonts w:ascii="Calibri" w:cs="Calibri" w:eastAsia="Calibri" w:hAnsi="Calibri"/>
                <w:b/>
                <w:bCs/>
                <w:color w:val="002D55"/>
                <w:sz w:val="28"/>
                <w:szCs w:val="28"/>
              </w:rPr>
              <w:t xml:space="preserve">70 personas</w:t>
            </w:r>
          </w:p>
          <w:p>
            <w:pPr>
              <w:jc w:val="center"/>
            </w:pPr>
            <w:r>
              <w:rPr>
                <w:rFonts w:ascii="Calibri" w:cs="Calibri" w:eastAsia="Calibri" w:hAnsi="Calibri"/>
                <w:color w:val="5B5B5B"/>
                <w:sz w:val="16"/>
                <w:szCs w:val="16"/>
              </w:rPr>
              <w:t xml:space="preserve">Capacidad comercial</w:t>
            </w:r>
          </w:p>
        </w:tc>
        <w:tc>
          <w:tcPr>
            <w:tcW w:type="dxa" w:w="2409"/>
            <w:tcBorders>
              <w:top w:val="none" w:color="FFFFFF" w:sz="0"/>
              <w:left w:val="none" w:color="FFFFFF" w:sz="0"/>
              <w:bottom w:val="none" w:color="FFFFFF" w:sz="0"/>
              <w:right w:val="single" w:color="FFFFFF" w:sz="4"/>
            </w:tcBorders>
            <w:shd w:fill="E8F0F8" w:color="auto" w:val="clear"/>
            <w:tcMar>
              <w:top w:type="dxa" w:w="160"/>
              <w:left w:type="dxa" w:w="100"/>
              <w:bottom w:type="dxa" w:w="160"/>
              <w:right w:type="dxa" w:w="100"/>
            </w:tcMar>
          </w:tcPr>
          <w:p>
            <w:pPr>
              <w:spacing w:after="40"/>
              <w:jc w:val="center"/>
            </w:pPr>
            <w:r>
              <w:rPr>
                <w:rFonts w:ascii="Calibri" w:cs="Calibri" w:eastAsia="Calibri" w:hAnsi="Calibri"/>
                <w:b/>
                <w:bCs/>
                <w:color w:val="002D55"/>
                <w:sz w:val="28"/>
                <w:szCs w:val="28"/>
              </w:rPr>
              <w:t xml:space="preserve">$100.000</w:t>
            </w:r>
          </w:p>
          <w:p>
            <w:pPr>
              <w:jc w:val="center"/>
            </w:pPr>
            <w:r>
              <w:rPr>
                <w:rFonts w:ascii="Calibri" w:cs="Calibri" w:eastAsia="Calibri" w:hAnsi="Calibri"/>
                <w:color w:val="5B5B5B"/>
                <w:sz w:val="16"/>
                <w:szCs w:val="16"/>
              </w:rPr>
              <w:t xml:space="preserve">Garantía base</w:t>
            </w:r>
          </w:p>
        </w:tc>
      </w:tr>
    </w:tbl>
    <w:p>
      <w:pPr>
        <w:spacing w:after="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9D3E3" w:sz="4"/>
              <w:left w:val="single" w:color="00529B" w:sz="24"/>
              <w:bottom w:val="single" w:color="D9D3E3" w:sz="4"/>
              <w:right w:val="single" w:color="D9D3E3" w:sz="4"/>
            </w:tcBorders>
            <w:shd w:fill="E8F0F8" w:color="auto" w:val="clear"/>
            <w:tcMar>
              <w:top w:type="dxa" w:w="160"/>
              <w:left w:type="dxa" w:w="220"/>
              <w:bottom w:type="dxa" w:w="160"/>
              <w:right w:type="dxa" w:w="220"/>
            </w:tcMar>
          </w:tcPr>
          <w:p>
            <w:pPr>
              <w:spacing w:after="60"/>
            </w:pPr>
            <w:r>
              <w:rPr>
                <w:rFonts w:ascii="Calibri" w:cs="Calibri" w:eastAsia="Calibri" w:hAnsi="Calibri"/>
                <w:b/>
                <w:bCs/>
                <w:color w:val="00529B"/>
                <w:sz w:val="20"/>
                <w:szCs w:val="20"/>
              </w:rPr>
              <w:t xml:space="preserve">Recomendación central</w:t>
            </w:r>
          </w:p>
          <w:p>
            <w:pPr>
              <w:spacing w:after="0" w:line="268"/>
            </w:pPr>
            <w:r>
              <w:rPr>
                <w:rFonts w:ascii="Calibri" w:cs="Calibri" w:eastAsia="Calibri" w:hAnsi="Calibri"/>
                <w:color w:val="222222"/>
                <w:sz w:val="21"/>
                <w:szCs w:val="21"/>
              </w:rPr>
              <w:t xml:space="preserve">Aprobar un piloto de arriendo de 90 días, concentrado primero en el salón principal y en toda sala que apruebe antes una verificación de habilitación. El tarifario será mínimo y transitorio, acorde al estado actual del inmueble, y se revisará con evidencia real de ocupación, costos e incidencias.</w:t>
            </w:r>
          </w:p>
        </w:tc>
      </w:tr>
    </w:tbl>
    <w:p>
      <w:pPr>
        <w:spacing w:after="220"/>
      </w:pPr>
    </w:p>
    <w:p>
      <w:pPr>
        <w:pStyle w:val="Heading2"/>
        <w:keepNext/>
        <w:spacing w:after="120" w:before="300"/>
      </w:pPr>
      <w:r>
        <w:rPr>
          <w:rFonts w:ascii="Calibri" w:cs="Calibri" w:eastAsia="Calibri" w:hAnsi="Calibri"/>
          <w:b/>
          <w:bCs/>
          <w:color w:val="00529B"/>
          <w:sz w:val="24"/>
          <w:szCs w:val="24"/>
        </w:rPr>
        <w:t xml:space="preserve">Lo que la Junta decide hoy</w:t>
      </w:r>
    </w:p>
    <w:p>
      <w:pPr>
        <w:pStyle w:val="ListParagraph"/>
        <w:numPr>
          <w:ilvl w:val="0"/>
          <w:numId w:val="1"/>
        </w:numPr>
        <w:spacing w:after="100" w:line="270"/>
      </w:pPr>
      <w:r>
        <w:rPr>
          <w:rFonts w:ascii="Calibri" w:cs="Calibri" w:eastAsia="Calibri" w:hAnsi="Calibri"/>
          <w:color w:val="222222"/>
          <w:sz w:val="21"/>
          <w:szCs w:val="21"/>
        </w:rPr>
        <w:t xml:space="preserve">Aprobar el tarifario, las garantías, las reservas y las políticas operativas del piloto.</w:t>
      </w:r>
    </w:p>
    <w:p>
      <w:pPr>
        <w:pStyle w:val="ListParagraph"/>
        <w:numPr>
          <w:ilvl w:val="0"/>
          <w:numId w:val="1"/>
        </w:numPr>
        <w:spacing w:after="100" w:line="270"/>
      </w:pPr>
      <w:r>
        <w:rPr>
          <w:rFonts w:ascii="Calibri" w:cs="Calibri" w:eastAsia="Calibri" w:hAnsi="Calibri"/>
          <w:color w:val="222222"/>
          <w:sz w:val="21"/>
          <w:szCs w:val="21"/>
        </w:rPr>
        <w:t xml:space="preserve">Autorizar el salón principal como activo comercial prioritario, con un mínimo de cuatro horas por reserva.</w:t>
      </w:r>
    </w:p>
    <w:p>
      <w:pPr>
        <w:pStyle w:val="ListParagraph"/>
        <w:numPr>
          <w:ilvl w:val="0"/>
          <w:numId w:val="1"/>
        </w:numPr>
        <w:spacing w:after="100" w:line="270"/>
      </w:pPr>
      <w:r>
        <w:rPr>
          <w:rFonts w:ascii="Calibri" w:cs="Calibri" w:eastAsia="Calibri" w:hAnsi="Calibri"/>
          <w:color w:val="222222"/>
          <w:sz w:val="21"/>
          <w:szCs w:val="21"/>
        </w:rPr>
        <w:t xml:space="preserve">Condicionar la oferta de salas auxiliares a una verificación previa de seguridad, funcionamiento y disponibilidad.</w:t>
      </w:r>
    </w:p>
    <w:p>
      <w:pPr>
        <w:pStyle w:val="ListParagraph"/>
        <w:numPr>
          <w:ilvl w:val="0"/>
          <w:numId w:val="1"/>
        </w:numPr>
        <w:spacing w:after="100" w:line="270"/>
      </w:pPr>
      <w:r>
        <w:rPr>
          <w:rFonts w:ascii="Calibri" w:cs="Calibri" w:eastAsia="Calibri" w:hAnsi="Calibri"/>
          <w:color w:val="222222"/>
          <w:sz w:val="21"/>
          <w:szCs w:val="21"/>
        </w:rPr>
        <w:t xml:space="preserve">Designar a los responsables provisionales de reservas, pagos, inventario, entrega y recepción.</w:t>
      </w:r>
    </w:p>
    <w:p>
      <w:pPr>
        <w:pStyle w:val="ListParagraph"/>
        <w:numPr>
          <w:ilvl w:val="0"/>
          <w:numId w:val="1"/>
        </w:numPr>
        <w:spacing w:after="100" w:line="270"/>
      </w:pPr>
      <w:r>
        <w:rPr>
          <w:rFonts w:ascii="Calibri" w:cs="Calibri" w:eastAsia="Calibri" w:hAnsi="Calibri"/>
          <w:color w:val="222222"/>
          <w:sz w:val="21"/>
          <w:szCs w:val="21"/>
        </w:rPr>
        <w:t xml:space="preserve">Fijar la revisión mensual de resultados y la resolución de continuidad o ajuste al día 90.</w:t>
      </w:r>
    </w:p>
    <w:p>
      <w:pPr>
        <w:spacing w:after="160"/>
      </w:pPr>
    </w:p>
    <w:p>
      <w:pPr>
        <w:pStyle w:val="Heading2"/>
        <w:keepNext/>
        <w:spacing w:after="120" w:before="300"/>
      </w:pPr>
      <w:r>
        <w:rPr>
          <w:rFonts w:ascii="Calibri" w:cs="Calibri" w:eastAsia="Calibri" w:hAnsi="Calibri"/>
          <w:b/>
          <w:bCs/>
          <w:color w:val="00529B"/>
          <w:sz w:val="24"/>
          <w:szCs w:val="24"/>
        </w:rPr>
        <w:t xml:space="preserve">Lo que se obtendrá al día 90</w:t>
      </w:r>
    </w:p>
    <w:p>
      <w:pPr>
        <w:spacing w:after="160" w:line="276"/>
      </w:pPr>
      <w:r>
        <w:rPr>
          <w:rFonts w:ascii="Calibri" w:cs="Calibri" w:eastAsia="Calibri" w:hAnsi="Calibri"/>
          <w:color w:val="222222"/>
          <w:sz w:val="21"/>
          <w:szCs w:val="21"/>
        </w:rPr>
        <w:t xml:space="preserve">Qué tipos de eventos demandan el recinto, cuánto ingreso neto produce cada reserva, qué costos y horas de voluntariado genera, qué daños o reclamos ocurren, y qué mejoras conviene priorizar.</w:t>
      </w:r>
    </w:p>
    <w:p>
      <w:r>
        <w:br w:type="page"/>
      </w:r>
    </w:p>
    <w:p>
      <w:pPr>
        <w:pStyle w:val="Heading1"/>
        <w:keepNext/>
        <w:pBdr>
          <w:bottom w:val="single" w:color="FFCF00" w:sz="8" w:space="6"/>
        </w:pBdr>
        <w:spacing w:after="200" w:before="480"/>
      </w:pPr>
      <w:r>
        <w:rPr>
          <w:rFonts w:ascii="Calibri" w:cs="Calibri" w:eastAsia="Calibri" w:hAnsi="Calibri"/>
          <w:b/>
          <w:bCs/>
          <w:color w:val="8C7200"/>
          <w:sz w:val="30"/>
          <w:szCs w:val="30"/>
        </w:rPr>
        <w:t xml:space="preserve">1  </w:t>
      </w:r>
      <w:r>
        <w:rPr>
          <w:rFonts w:ascii="Calibri" w:cs="Calibri" w:eastAsia="Calibri" w:hAnsi="Calibri"/>
          <w:b/>
          <w:bCs/>
          <w:color w:val="002D55"/>
          <w:sz w:val="30"/>
          <w:szCs w:val="30"/>
        </w:rPr>
        <w:t xml:space="preserve">Contexto y alcance</w:t>
      </w:r>
    </w:p>
    <w:p>
      <w:pPr>
        <w:pStyle w:val="Heading2"/>
        <w:keepNext/>
        <w:spacing w:after="120" w:before="300"/>
      </w:pPr>
      <w:r>
        <w:rPr>
          <w:rFonts w:ascii="Calibri" w:cs="Calibri" w:eastAsia="Calibri" w:hAnsi="Calibri"/>
          <w:b/>
          <w:bCs/>
          <w:color w:val="00529B"/>
          <w:sz w:val="24"/>
          <w:szCs w:val="24"/>
        </w:rPr>
        <w:t xml:space="preserve">1.1 Propósito</w:t>
      </w:r>
    </w:p>
    <w:p>
      <w:pPr>
        <w:spacing w:after="160" w:line="276"/>
      </w:pPr>
      <w:r>
        <w:rPr>
          <w:rFonts w:ascii="Calibri" w:cs="Calibri" w:eastAsia="Calibri" w:hAnsi="Calibri"/>
          <w:color w:val="222222"/>
          <w:sz w:val="21"/>
          <w:szCs w:val="21"/>
        </w:rPr>
        <w:t xml:space="preserve">Transformar el levantamiento técnico preliminar en una oferta de arriendo clara, controlada y medible, capaz de generar recursos para la conservación de la sede sin interferir con la actividad institucional del Club.</w:t>
      </w:r>
    </w:p>
    <w:p>
      <w:pPr>
        <w:pStyle w:val="Heading2"/>
        <w:keepNext/>
        <w:spacing w:after="120" w:before="300"/>
      </w:pPr>
      <w:r>
        <w:rPr>
          <w:rFonts w:ascii="Calibri" w:cs="Calibri" w:eastAsia="Calibri" w:hAnsi="Calibri"/>
          <w:b/>
          <w:bCs/>
          <w:color w:val="00529B"/>
          <w:sz w:val="24"/>
          <w:szCs w:val="24"/>
        </w:rPr>
        <w:t xml:space="preserve">1.2 Qué aporta el levantamiento técnico</w:t>
      </w:r>
    </w:p>
    <w:p>
      <w:pPr>
        <w:spacing w:after="160" w:line="276"/>
      </w:pPr>
      <w:r>
        <w:rPr>
          <w:rFonts w:ascii="Calibri" w:cs="Calibri" w:eastAsia="Calibri" w:hAnsi="Calibri"/>
          <w:color w:val="222222"/>
          <w:sz w:val="21"/>
          <w:szCs w:val="21"/>
        </w:rPr>
        <w:t xml:space="preserve">El informe de Libardo es la fuente técnica principal para dimensiones y observaciones. Este documento toma solo los antecedentes necesarios para delimitar la oferta comercial; no reemplaza una medición arquitectónica, una regularización municipal ni una certificación de aforo.</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277"/>
        <w:gridCol w:w="3277"/>
      </w:tblGrid>
      <w:tr>
        <w:trPr>
          <w:cantSplit/>
          <w:tblHeader/>
        </w:trPr>
        <w:tc>
          <w:tcPr>
            <w:tcW w:type="dxa" w:w="3084"/>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Antecedente técnico</w:t>
            </w:r>
          </w:p>
        </w:tc>
        <w:tc>
          <w:tcPr>
            <w:tcW w:type="dxa" w:w="3277"/>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Lectura comercial</w:t>
            </w:r>
          </w:p>
        </w:tc>
        <w:tc>
          <w:tcPr>
            <w:tcW w:type="dxa" w:w="3277"/>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Decisión para el piloto</w:t>
            </w:r>
          </w:p>
        </w:tc>
      </w:tr>
      <w:tr>
        <w:trPr>
          <w:cantSplit/>
        </w:trPr>
        <w:tc>
          <w:tcPr>
            <w:tcW w:type="dxa" w:w="3084"/>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Salón principal: 10,00 × 8,70 m; 87 m² aproximados</w:t>
            </w:r>
          </w:p>
        </w:tc>
        <w:tc>
          <w:tcPr>
            <w:tcW w:type="dxa" w:w="327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Es el espacio con mayor capacidad y mejor posibilidad de ingresos.</w:t>
            </w:r>
          </w:p>
        </w:tc>
        <w:tc>
          <w:tcPr>
            <w:tcW w:type="dxa" w:w="327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Publicar primero, sujeto a checklist habilitante.</w:t>
            </w:r>
          </w:p>
        </w:tc>
      </w:tr>
      <w:tr>
        <w:trPr>
          <w:cantSplit/>
        </w:trPr>
        <w:tc>
          <w:tcPr>
            <w:tcW w:type="dxa" w:w="3084"/>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Dos baños asociados al salón</w:t>
            </w:r>
          </w:p>
        </w:tc>
        <w:tc>
          <w:tcPr>
            <w:tcW w:type="dxa" w:w="327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Aportan funcionalidad, pero deben estar operativos y limpios.</w:t>
            </w:r>
          </w:p>
        </w:tc>
        <w:tc>
          <w:tcPr>
            <w:tcW w:type="dxa" w:w="327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Verificar antes de cada entrega.</w:t>
            </w:r>
          </w:p>
        </w:tc>
      </w:tr>
      <w:tr>
        <w:trPr>
          <w:cantSplit/>
        </w:trPr>
        <w:tc>
          <w:tcPr>
            <w:tcW w:type="dxa" w:w="3084"/>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Ventanas altas y cielo con reparaciones pendientes</w:t>
            </w:r>
          </w:p>
        </w:tc>
        <w:tc>
          <w:tcPr>
            <w:tcW w:type="dxa" w:w="327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Reducen el estándar y limitan el precio inicial.</w:t>
            </w:r>
          </w:p>
        </w:tc>
        <w:tc>
          <w:tcPr>
            <w:tcW w:type="dxa" w:w="327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Tarifa transitoria y registro de observaciones.</w:t>
            </w:r>
          </w:p>
        </w:tc>
      </w:tr>
      <w:tr>
        <w:trPr>
          <w:cantSplit/>
        </w:trPr>
        <w:tc>
          <w:tcPr>
            <w:tcW w:type="dxa" w:w="3084"/>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Salas auxiliares con medidas parciales o contradictorias</w:t>
            </w:r>
          </w:p>
        </w:tc>
        <w:tc>
          <w:tcPr>
            <w:tcW w:type="dxa" w:w="327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No deben presentarse como producto terminado.</w:t>
            </w:r>
          </w:p>
        </w:tc>
        <w:tc>
          <w:tcPr>
            <w:tcW w:type="dxa" w:w="327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Ofrecer solo la sala expresamente habilitada; el resto queda para una fase posterior.</w:t>
            </w:r>
          </w:p>
        </w:tc>
      </w:tr>
    </w:tbl>
    <w:p>
      <w:pPr>
        <w:spacing w:after="220"/>
      </w:pPr>
    </w:p>
    <w:p>
      <w:pPr>
        <w:pStyle w:val="Heading2"/>
        <w:keepNext/>
        <w:spacing w:after="120" w:before="300"/>
      </w:pPr>
      <w:r>
        <w:rPr>
          <w:rFonts w:ascii="Calibri" w:cs="Calibri" w:eastAsia="Calibri" w:hAnsi="Calibri"/>
          <w:b/>
          <w:bCs/>
          <w:color w:val="00529B"/>
          <w:sz w:val="24"/>
          <w:szCs w:val="24"/>
        </w:rPr>
        <w:t xml:space="preserve">1.3 Límite de capacidad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9D3E3" w:sz="4"/>
              <w:left w:val="single" w:color="8C7200" w:sz="24"/>
              <w:bottom w:val="single" w:color="D9D3E3" w:sz="4"/>
              <w:right w:val="single" w:color="D9D3E3" w:sz="4"/>
            </w:tcBorders>
            <w:shd w:fill="FFF7DD" w:color="auto" w:val="clear"/>
            <w:tcMar>
              <w:top w:type="dxa" w:w="160"/>
              <w:left w:type="dxa" w:w="220"/>
              <w:bottom w:type="dxa" w:w="160"/>
              <w:right w:type="dxa" w:w="220"/>
            </w:tcMar>
          </w:tcPr>
          <w:p>
            <w:pPr>
              <w:spacing w:after="60"/>
            </w:pPr>
            <w:r>
              <w:rPr>
                <w:rFonts w:ascii="Calibri" w:cs="Calibri" w:eastAsia="Calibri" w:hAnsi="Calibri"/>
                <w:b/>
                <w:bCs/>
                <w:color w:val="8C7200"/>
                <w:sz w:val="20"/>
                <w:szCs w:val="20"/>
              </w:rPr>
              <w:t xml:space="preserve">Capacidad comercial, no aforo técnico</w:t>
            </w:r>
          </w:p>
          <w:p>
            <w:pPr>
              <w:spacing w:after="0" w:line="268"/>
            </w:pPr>
            <w:r>
              <w:rPr>
                <w:rFonts w:ascii="Calibri" w:cs="Calibri" w:eastAsia="Calibri" w:hAnsi="Calibri"/>
                <w:color w:val="222222"/>
                <w:sz w:val="21"/>
                <w:szCs w:val="21"/>
              </w:rPr>
              <w:t xml:space="preserve">Existe una experiencia observada cercana a 80 asistentes, pero eso no constituye aforo técnico. Para el piloto se recomienda una capacidad comercial conservadora de hasta 70 personas sentadas con mesas, siempre subordinada a la validación de evacuación, servicios higiénicos y normativa aplicable.</w:t>
            </w:r>
          </w:p>
        </w:tc>
      </w:tr>
    </w:tbl>
    <w:p>
      <w:pPr>
        <w:pStyle w:val="Heading1"/>
        <w:keepNext/>
        <w:pBdr>
          <w:bottom w:val="single" w:color="FFCF00" w:sz="8" w:space="6"/>
        </w:pBdr>
        <w:spacing w:after="200" w:before="480"/>
      </w:pPr>
      <w:r>
        <w:rPr>
          <w:rFonts w:ascii="Calibri" w:cs="Calibri" w:eastAsia="Calibri" w:hAnsi="Calibri"/>
          <w:b/>
          <w:bCs/>
          <w:color w:val="8C7200"/>
          <w:sz w:val="30"/>
          <w:szCs w:val="30"/>
        </w:rPr>
        <w:t xml:space="preserve">2  </w:t>
      </w:r>
      <w:r>
        <w:rPr>
          <w:rFonts w:ascii="Calibri" w:cs="Calibri" w:eastAsia="Calibri" w:hAnsi="Calibri"/>
          <w:b/>
          <w:bCs/>
          <w:color w:val="002D55"/>
          <w:sz w:val="30"/>
          <w:szCs w:val="30"/>
        </w:rPr>
        <w:t xml:space="preserve">Propuesta de valor</w:t>
      </w:r>
    </w:p>
    <w:p>
      <w:pPr>
        <w:spacing w:after="160" w:line="276"/>
      </w:pPr>
      <w:r>
        <w:rPr>
          <w:rFonts w:ascii="Calibri" w:cs="Calibri" w:eastAsia="Calibri" w:hAnsi="Calibri"/>
          <w:color w:val="222222"/>
          <w:sz w:val="21"/>
          <w:szCs w:val="21"/>
        </w:rPr>
        <w:t xml:space="preserve">La sede se posiciona como un espacio comunitario, funcional y accesible para actividades de escala media. No compite por lujo o equipamiento avanzado; compite por ubicación, flexibilidad, trato directo, precio transparente y contribución a la labor social del Club.</w:t>
      </w:r>
    </w:p>
    <w:p>
      <w:pPr>
        <w:pStyle w:val="Heading2"/>
        <w:keepNext/>
        <w:spacing w:after="120" w:before="300"/>
      </w:pPr>
      <w:r>
        <w:rPr>
          <w:rFonts w:ascii="Calibri" w:cs="Calibri" w:eastAsia="Calibri" w:hAnsi="Calibri"/>
          <w:b/>
          <w:bCs/>
          <w:color w:val="00529B"/>
          <w:sz w:val="24"/>
          <w:szCs w:val="24"/>
        </w:rPr>
        <w:t xml:space="preserve">2.1 Usos prioritarios</w:t>
      </w:r>
    </w:p>
    <w:p>
      <w:pPr>
        <w:pStyle w:val="ListParagraph"/>
        <w:numPr>
          <w:ilvl w:val="0"/>
          <w:numId w:val="1"/>
        </w:numPr>
        <w:spacing w:after="100" w:line="270"/>
      </w:pPr>
      <w:r>
        <w:rPr>
          <w:rFonts w:ascii="Calibri" w:cs="Calibri" w:eastAsia="Calibri" w:hAnsi="Calibri"/>
          <w:color w:val="222222"/>
          <w:sz w:val="21"/>
          <w:szCs w:val="21"/>
        </w:rPr>
        <w:t xml:space="preserve">Reuniones de organizaciones, comunidades y equipos de trabajo.</w:t>
      </w:r>
    </w:p>
    <w:p>
      <w:pPr>
        <w:pStyle w:val="ListParagraph"/>
        <w:numPr>
          <w:ilvl w:val="0"/>
          <w:numId w:val="1"/>
        </w:numPr>
        <w:spacing w:after="100" w:line="270"/>
      </w:pPr>
      <w:r>
        <w:rPr>
          <w:rFonts w:ascii="Calibri" w:cs="Calibri" w:eastAsia="Calibri" w:hAnsi="Calibri"/>
          <w:color w:val="222222"/>
          <w:sz w:val="21"/>
          <w:szCs w:val="21"/>
        </w:rPr>
        <w:t xml:space="preserve">Talleres, clases, capacitaciones y actividades recurrentes, como la escuela de karate.</w:t>
      </w:r>
    </w:p>
    <w:p>
      <w:pPr>
        <w:pStyle w:val="ListParagraph"/>
        <w:numPr>
          <w:ilvl w:val="0"/>
          <w:numId w:val="1"/>
        </w:numPr>
        <w:spacing w:after="100" w:line="270"/>
      </w:pPr>
      <w:r>
        <w:rPr>
          <w:rFonts w:ascii="Calibri" w:cs="Calibri" w:eastAsia="Calibri" w:hAnsi="Calibri"/>
          <w:color w:val="222222"/>
          <w:sz w:val="21"/>
          <w:szCs w:val="21"/>
        </w:rPr>
        <w:t xml:space="preserve">Celebraciones familiares, cumpleaños, bautizos y ceremonias de carácter privado.</w:t>
      </w:r>
    </w:p>
    <w:p>
      <w:pPr>
        <w:pStyle w:val="ListParagraph"/>
        <w:numPr>
          <w:ilvl w:val="0"/>
          <w:numId w:val="1"/>
        </w:numPr>
        <w:spacing w:after="100" w:line="270"/>
      </w:pPr>
      <w:r>
        <w:rPr>
          <w:rFonts w:ascii="Calibri" w:cs="Calibri" w:eastAsia="Calibri" w:hAnsi="Calibri"/>
          <w:color w:val="222222"/>
          <w:sz w:val="21"/>
          <w:szCs w:val="21"/>
        </w:rPr>
        <w:t xml:space="preserve">Actividades institucionales y de servicio organizadas por el Club.</w:t>
      </w:r>
    </w:p>
    <w:p>
      <w:pPr>
        <w:pStyle w:val="Heading2"/>
        <w:keepNext/>
        <w:spacing w:after="120" w:before="300"/>
      </w:pPr>
      <w:r>
        <w:rPr>
          <w:rFonts w:ascii="Calibri" w:cs="Calibri" w:eastAsia="Calibri" w:hAnsi="Calibri"/>
          <w:b/>
          <w:bCs/>
          <w:color w:val="00529B"/>
          <w:sz w:val="24"/>
          <w:szCs w:val="24"/>
        </w:rPr>
        <w:t xml:space="preserve">2.2 Incluido en el arriendo base</w:t>
      </w:r>
    </w:p>
    <w:p>
      <w:pPr>
        <w:pStyle w:val="ListParagraph"/>
        <w:numPr>
          <w:ilvl w:val="0"/>
          <w:numId w:val="1"/>
        </w:numPr>
        <w:spacing w:after="100" w:line="270"/>
      </w:pPr>
      <w:r>
        <w:rPr>
          <w:rFonts w:ascii="Calibri" w:cs="Calibri" w:eastAsia="Calibri" w:hAnsi="Calibri"/>
          <w:color w:val="222222"/>
          <w:sz w:val="21"/>
          <w:szCs w:val="21"/>
        </w:rPr>
        <w:t xml:space="preserve">Uso exclusivo del espacio reservado durante el bloque contratado.</w:t>
      </w:r>
    </w:p>
    <w:p>
      <w:pPr>
        <w:pStyle w:val="ListParagraph"/>
        <w:numPr>
          <w:ilvl w:val="0"/>
          <w:numId w:val="1"/>
        </w:numPr>
        <w:spacing w:after="100" w:line="270"/>
      </w:pPr>
      <w:r>
        <w:rPr>
          <w:rFonts w:ascii="Calibri" w:cs="Calibri" w:eastAsia="Calibri" w:hAnsi="Calibri"/>
          <w:color w:val="222222"/>
          <w:sz w:val="21"/>
          <w:szCs w:val="21"/>
        </w:rPr>
        <w:t xml:space="preserve">Baños habilitados, electricidad de uso normal, red wifi, televisor y sistema de audio básico, según disponibilidad verificada.</w:t>
      </w:r>
    </w:p>
    <w:p>
      <w:pPr>
        <w:pStyle w:val="ListParagraph"/>
        <w:numPr>
          <w:ilvl w:val="0"/>
          <w:numId w:val="1"/>
        </w:numPr>
        <w:spacing w:after="100" w:line="270"/>
      </w:pPr>
      <w:r>
        <w:rPr>
          <w:rFonts w:ascii="Calibri" w:cs="Calibri" w:eastAsia="Calibri" w:hAnsi="Calibri"/>
          <w:color w:val="222222"/>
          <w:sz w:val="21"/>
          <w:szCs w:val="21"/>
        </w:rPr>
        <w:t xml:space="preserve">Acceso coordinado y acta de entrega y recepción.</w:t>
      </w:r>
    </w:p>
    <w:p>
      <w:pPr>
        <w:pStyle w:val="ListParagraph"/>
        <w:numPr>
          <w:ilvl w:val="0"/>
          <w:numId w:val="1"/>
        </w:numPr>
        <w:spacing w:after="100" w:line="270"/>
      </w:pPr>
      <w:r>
        <w:rPr>
          <w:rFonts w:ascii="Calibri" w:cs="Calibri" w:eastAsia="Calibri" w:hAnsi="Calibri"/>
          <w:color w:val="222222"/>
          <w:sz w:val="21"/>
          <w:szCs w:val="21"/>
        </w:rPr>
        <w:t xml:space="preserve">Estacionamiento público exterior, sin exclusividad ni custodia por parte del Club.</w:t>
      </w:r>
    </w:p>
    <w:p>
      <w:pPr>
        <w:pStyle w:val="Heading2"/>
        <w:keepNext/>
        <w:spacing w:after="120" w:before="300"/>
      </w:pPr>
      <w:r>
        <w:rPr>
          <w:rFonts w:ascii="Calibri" w:cs="Calibri" w:eastAsia="Calibri" w:hAnsi="Calibri"/>
          <w:b/>
          <w:bCs/>
          <w:color w:val="00529B"/>
          <w:sz w:val="24"/>
          <w:szCs w:val="24"/>
        </w:rPr>
        <w:t xml:space="preserve">2.3 Adicionales controlados por inventario</w:t>
      </w:r>
    </w:p>
    <w:p>
      <w:pPr>
        <w:spacing w:after="160" w:line="276"/>
      </w:pPr>
      <w:r>
        <w:rPr>
          <w:rFonts w:ascii="Calibri" w:cs="Calibri" w:eastAsia="Calibri" w:hAnsi="Calibri"/>
          <w:color w:val="222222"/>
          <w:sz w:val="21"/>
          <w:szCs w:val="21"/>
        </w:rPr>
        <w:t xml:space="preserve">El mobiliario, la cocina de apoyo, la loza y los vasos se ofrecen como adicionales pagados y controlados por inventario (detalle y valores en la sección 3.4). Esto protege los bienes del Club y permite conocer el costo real de uso y reposición de cada elemento.</w:t>
      </w:r>
    </w:p>
    <w:p>
      <w:pPr>
        <w:pStyle w:val="Heading1"/>
        <w:keepNext/>
        <w:pBdr>
          <w:bottom w:val="single" w:color="FFCF00" w:sz="8" w:space="6"/>
        </w:pBdr>
        <w:spacing w:after="200" w:before="480"/>
      </w:pPr>
      <w:r>
        <w:rPr>
          <w:rFonts w:ascii="Calibri" w:cs="Calibri" w:eastAsia="Calibri" w:hAnsi="Calibri"/>
          <w:b/>
          <w:bCs/>
          <w:color w:val="8C7200"/>
          <w:sz w:val="30"/>
          <w:szCs w:val="30"/>
        </w:rPr>
        <w:t xml:space="preserve">3  </w:t>
      </w:r>
      <w:r>
        <w:rPr>
          <w:rFonts w:ascii="Calibri" w:cs="Calibri" w:eastAsia="Calibri" w:hAnsi="Calibri"/>
          <w:b/>
          <w:bCs/>
          <w:color w:val="002D55"/>
          <w:sz w:val="30"/>
          <w:szCs w:val="30"/>
        </w:rPr>
        <w:t xml:space="preserve">Tarifario del piloto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9D3E3" w:sz="4"/>
              <w:left w:val="single" w:color="00529B" w:sz="24"/>
              <w:bottom w:val="single" w:color="D9D3E3" w:sz="4"/>
              <w:right w:val="single" w:color="D9D3E3" w:sz="4"/>
            </w:tcBorders>
            <w:shd w:fill="E8F0F8" w:color="auto" w:val="clear"/>
            <w:tcMar>
              <w:top w:type="dxa" w:w="160"/>
              <w:left w:type="dxa" w:w="220"/>
              <w:bottom w:type="dxa" w:w="160"/>
              <w:right w:type="dxa" w:w="220"/>
            </w:tcMar>
          </w:tcPr>
          <w:p>
            <w:pPr>
              <w:spacing w:after="60"/>
            </w:pPr>
            <w:r>
              <w:rPr>
                <w:rFonts w:ascii="Calibri" w:cs="Calibri" w:eastAsia="Calibri" w:hAnsi="Calibri"/>
                <w:b/>
                <w:bCs/>
                <w:color w:val="00529B"/>
                <w:sz w:val="20"/>
                <w:szCs w:val="20"/>
              </w:rPr>
              <w:t xml:space="preserve">Criterio de precio</w:t>
            </w:r>
          </w:p>
          <w:p>
            <w:pPr>
              <w:spacing w:after="0" w:line="268"/>
            </w:pPr>
            <w:r>
              <w:rPr>
                <w:rFonts w:ascii="Calibri" w:cs="Calibri" w:eastAsia="Calibri" w:hAnsi="Calibri"/>
                <w:color w:val="222222"/>
                <w:sz w:val="21"/>
                <w:szCs w:val="21"/>
              </w:rPr>
              <w:t xml:space="preserve">Los valores son mínimos comerciales para el estado actual del recinto. Mantienen coherencia con los arriendos históricos de $110.000 a $150.000 por jornadas de cuatro a seis horas, y permiten cobrar extensiones de forma transparente.</w:t>
            </w:r>
          </w:p>
        </w:tc>
      </w:tr>
    </w:tbl>
    <w:p>
      <w:pPr>
        <w:spacing w:after="200"/>
      </w:pPr>
    </w:p>
    <w:p>
      <w:pPr>
        <w:pStyle w:val="Heading2"/>
        <w:keepNext/>
        <w:spacing w:after="120" w:before="300"/>
      </w:pPr>
      <w:r>
        <w:rPr>
          <w:rFonts w:ascii="Calibri" w:cs="Calibri" w:eastAsia="Calibri" w:hAnsi="Calibri"/>
          <w:b/>
          <w:bCs/>
          <w:color w:val="00529B"/>
          <w:sz w:val="24"/>
          <w:szCs w:val="24"/>
        </w:rPr>
        <w:t xml:space="preserve">3.1 Salón principal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1"/>
        <w:gridCol w:w="1687"/>
        <w:gridCol w:w="1687"/>
        <w:gridCol w:w="1687"/>
        <w:gridCol w:w="1687"/>
      </w:tblGrid>
      <w:tr>
        <w:trPr>
          <w:cantSplit/>
          <w:tblHeader/>
        </w:trPr>
        <w:tc>
          <w:tcPr>
            <w:tcW w:type="dxa" w:w="2891"/>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Franja</w:t>
            </w:r>
          </w:p>
        </w:tc>
        <w:tc>
          <w:tcPr>
            <w:tcW w:type="dxa" w:w="1687"/>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Tarifa/hora</w:t>
            </w:r>
          </w:p>
        </w:tc>
        <w:tc>
          <w:tcPr>
            <w:tcW w:type="dxa" w:w="1687"/>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Bloque mínimo 4 h</w:t>
            </w:r>
          </w:p>
        </w:tc>
        <w:tc>
          <w:tcPr>
            <w:tcW w:type="dxa" w:w="1687"/>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Bloque 8 h</w:t>
            </w:r>
          </w:p>
        </w:tc>
        <w:tc>
          <w:tcPr>
            <w:tcW w:type="dxa" w:w="1687"/>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Hora adicional</w:t>
            </w:r>
          </w:p>
        </w:tc>
      </w:tr>
      <w:tr>
        <w:trPr>
          <w:cantSplit/>
        </w:trPr>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Lunes a viernes hasta 18:00</w:t>
            </w:r>
          </w:p>
        </w:tc>
        <w:tc>
          <w:tcPr>
            <w:tcW w:type="dxa" w:w="168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$30.000</w:t>
            </w:r>
          </w:p>
        </w:tc>
        <w:tc>
          <w:tcPr>
            <w:tcW w:type="dxa" w:w="168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$110.000</w:t>
            </w:r>
          </w:p>
        </w:tc>
        <w:tc>
          <w:tcPr>
            <w:tcW w:type="dxa" w:w="168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$210.000</w:t>
            </w:r>
          </w:p>
        </w:tc>
        <w:tc>
          <w:tcPr>
            <w:tcW w:type="dxa" w:w="168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$30.000</w:t>
            </w:r>
          </w:p>
        </w:tc>
      </w:tr>
      <w:tr>
        <w:trPr>
          <w:cantSplit/>
        </w:trPr>
        <w:tc>
          <w:tcPr>
            <w:tcW w:type="dxa" w:w="2891"/>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Lunes a viernes desde 18:00</w:t>
            </w:r>
          </w:p>
        </w:tc>
        <w:tc>
          <w:tcPr>
            <w:tcW w:type="dxa" w:w="168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$40.000</w:t>
            </w:r>
          </w:p>
        </w:tc>
        <w:tc>
          <w:tcPr>
            <w:tcW w:type="dxa" w:w="168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$150.000</w:t>
            </w:r>
          </w:p>
        </w:tc>
        <w:tc>
          <w:tcPr>
            <w:tcW w:type="dxa" w:w="168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$280.000</w:t>
            </w:r>
          </w:p>
        </w:tc>
        <w:tc>
          <w:tcPr>
            <w:tcW w:type="dxa" w:w="168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$40.000</w:t>
            </w:r>
          </w:p>
        </w:tc>
      </w:tr>
      <w:tr>
        <w:trPr>
          <w:cantSplit/>
        </w:trPr>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Sábado, domingo y festivo</w:t>
            </w:r>
          </w:p>
        </w:tc>
        <w:tc>
          <w:tcPr>
            <w:tcW w:type="dxa" w:w="168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$40.000</w:t>
            </w:r>
          </w:p>
        </w:tc>
        <w:tc>
          <w:tcPr>
            <w:tcW w:type="dxa" w:w="168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$150.000</w:t>
            </w:r>
          </w:p>
        </w:tc>
        <w:tc>
          <w:tcPr>
            <w:tcW w:type="dxa" w:w="168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$280.000</w:t>
            </w:r>
          </w:p>
        </w:tc>
        <w:tc>
          <w:tcPr>
            <w:tcW w:type="dxa" w:w="168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$40.000</w:t>
            </w:r>
          </w:p>
        </w:tc>
      </w:tr>
    </w:tbl>
    <w:p>
      <w:pPr>
        <w:spacing w:after="160" w:line="276"/>
      </w:pPr>
      <w:r>
        <w:rPr>
          <w:rFonts w:ascii="Calibri" w:cs="Calibri" w:eastAsia="Calibri" w:hAnsi="Calibri"/>
          <w:color w:val="222222"/>
          <w:sz w:val="20"/>
          <w:szCs w:val="20"/>
        </w:rPr>
        <w:t xml:space="preserve">Los bloques incluyen el tiempo de montaje, desarrollo y desmontaje. La hora adicional debe solicitarse y pagarse antes del término; el sobretiempo no autorizado se cobra al 150% de la tarifa horaria aplicable.</w:t>
      </w:r>
    </w:p>
    <w:p>
      <w:pPr>
        <w:pStyle w:val="Heading2"/>
        <w:keepNext/>
        <w:spacing w:after="120" w:before="300"/>
      </w:pPr>
      <w:r>
        <w:rPr>
          <w:rFonts w:ascii="Calibri" w:cs="Calibri" w:eastAsia="Calibri" w:hAnsi="Calibri"/>
          <w:b/>
          <w:bCs/>
          <w:color w:val="00529B"/>
          <w:sz w:val="24"/>
          <w:szCs w:val="24"/>
        </w:rPr>
        <w:t xml:space="preserve">3.2 Sala auxiliar habilitada</w:t>
      </w:r>
    </w:p>
    <w:p>
      <w:pPr>
        <w:spacing w:after="160" w:line="276"/>
      </w:pPr>
      <w:r>
        <w:rPr>
          <w:rFonts w:ascii="Calibri" w:cs="Calibri" w:eastAsia="Calibri" w:hAnsi="Calibri"/>
          <w:color w:val="222222"/>
          <w:sz w:val="21"/>
          <w:szCs w:val="21"/>
        </w:rPr>
        <w:t xml:space="preserve">Esta oferta se activa solo después de verificar que la sala escogida tenga acceso, iluminación, enchufes, ventilación y condiciones de uso suficientes. Las demás salas permanecen fuera del piloto comercial hasta su habilitación.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277"/>
        <w:gridCol w:w="2120"/>
        <w:gridCol w:w="2120"/>
        <w:gridCol w:w="2120"/>
      </w:tblGrid>
      <w:tr>
        <w:trPr>
          <w:cantSplit/>
          <w:tblHeader/>
        </w:trPr>
        <w:tc>
          <w:tcPr>
            <w:tcW w:type="dxa" w:w="3277"/>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Franja</w:t>
            </w:r>
          </w:p>
        </w:tc>
        <w:tc>
          <w:tcPr>
            <w:tcW w:type="dxa" w:w="2120"/>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Tarifa/hora</w:t>
            </w:r>
          </w:p>
        </w:tc>
        <w:tc>
          <w:tcPr>
            <w:tcW w:type="dxa" w:w="2120"/>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Mínimo</w:t>
            </w:r>
          </w:p>
        </w:tc>
        <w:tc>
          <w:tcPr>
            <w:tcW w:type="dxa" w:w="2120"/>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Bloque 4 h</w:t>
            </w:r>
          </w:p>
        </w:tc>
      </w:tr>
      <w:tr>
        <w:trPr>
          <w:cantSplit/>
        </w:trPr>
        <w:tc>
          <w:tcPr>
            <w:tcW w:type="dxa" w:w="327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Lunes a viernes hasta 18:00</w:t>
            </w:r>
          </w:p>
        </w:tc>
        <w:tc>
          <w:tcPr>
            <w:tcW w:type="dxa" w:w="2120"/>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$15.000</w:t>
            </w:r>
          </w:p>
        </w:tc>
        <w:tc>
          <w:tcPr>
            <w:tcW w:type="dxa" w:w="2120"/>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2 horas</w:t>
            </w:r>
          </w:p>
        </w:tc>
        <w:tc>
          <w:tcPr>
            <w:tcW w:type="dxa" w:w="2120"/>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$55.000</w:t>
            </w:r>
          </w:p>
        </w:tc>
      </w:tr>
      <w:tr>
        <w:trPr>
          <w:cantSplit/>
        </w:trPr>
        <w:tc>
          <w:tcPr>
            <w:tcW w:type="dxa" w:w="327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Noche / fin de semana</w:t>
            </w:r>
          </w:p>
        </w:tc>
        <w:tc>
          <w:tcPr>
            <w:tcW w:type="dxa" w:w="2120"/>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$20.000</w:t>
            </w:r>
          </w:p>
        </w:tc>
        <w:tc>
          <w:tcPr>
            <w:tcW w:type="dxa" w:w="2120"/>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2 horas</w:t>
            </w:r>
          </w:p>
        </w:tc>
        <w:tc>
          <w:tcPr>
            <w:tcW w:type="dxa" w:w="2120"/>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$70.000</w:t>
            </w:r>
          </w:p>
        </w:tc>
      </w:tr>
    </w:tbl>
    <w:p>
      <w:pPr>
        <w:spacing w:after="200"/>
      </w:pPr>
    </w:p>
    <w:p>
      <w:pPr>
        <w:pStyle w:val="Heading2"/>
        <w:keepNext/>
        <w:spacing w:after="120" w:before="300"/>
      </w:pPr>
      <w:r>
        <w:rPr>
          <w:rFonts w:ascii="Calibri" w:cs="Calibri" w:eastAsia="Calibri" w:hAnsi="Calibri"/>
          <w:b/>
          <w:bCs/>
          <w:color w:val="00529B"/>
          <w:sz w:val="24"/>
          <w:szCs w:val="24"/>
        </w:rPr>
        <w:t xml:space="preserve">3.3 Adicionales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cantSplit/>
          <w:tblHeader/>
        </w:trPr>
        <w:tc>
          <w:tcPr>
            <w:tcW w:type="dxa" w:w="2891"/>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Concepto</w:t>
            </w:r>
          </w:p>
        </w:tc>
        <w:tc>
          <w:tcPr>
            <w:tcW w:type="dxa" w:w="1928"/>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Valor piloto</w:t>
            </w:r>
          </w:p>
        </w:tc>
        <w:tc>
          <w:tcPr>
            <w:tcW w:type="dxa" w:w="4819"/>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Condición</w:t>
            </w:r>
          </w:p>
        </w:tc>
      </w:tr>
      <w:tr>
        <w:trPr>
          <w:cantSplit/>
        </w:trPr>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Paquete de mesas y sillas</w:t>
            </w:r>
          </w:p>
        </w:tc>
        <w:tc>
          <w:tcPr>
            <w:tcW w:type="dxa" w:w="1928"/>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$20.000</w:t>
            </w:r>
          </w:p>
        </w:tc>
        <w:tc>
          <w:tcPr>
            <w:tcW w:type="dxa" w:w="4819"/>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Hasta 10 mesas plegables y 70 sillas, sujeto a inventario.</w:t>
            </w:r>
          </w:p>
        </w:tc>
      </w:tr>
      <w:tr>
        <w:trPr>
          <w:cantSplit/>
        </w:trPr>
        <w:tc>
          <w:tcPr>
            <w:tcW w:type="dxa" w:w="2891"/>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Loza y vasos</w:t>
            </w:r>
          </w:p>
        </w:tc>
        <w:tc>
          <w:tcPr>
            <w:tcW w:type="dxa" w:w="1928"/>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$25.000</w:t>
            </w:r>
          </w:p>
        </w:tc>
        <w:tc>
          <w:tcPr>
            <w:tcW w:type="dxa" w:w="4819"/>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Hasta 70 servicios; pérdidas y roturas se descuentan de garantía.</w:t>
            </w:r>
          </w:p>
        </w:tc>
      </w:tr>
      <w:tr>
        <w:trPr>
          <w:cantSplit/>
        </w:trPr>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Cocina de apoyo</w:t>
            </w:r>
          </w:p>
        </w:tc>
        <w:tc>
          <w:tcPr>
            <w:tcW w:type="dxa" w:w="1928"/>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$20.000</w:t>
            </w:r>
          </w:p>
        </w:tc>
        <w:tc>
          <w:tcPr>
            <w:tcW w:type="dxa" w:w="4819"/>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Uso coordinado; no incluye insumos ni producción industrial.</w:t>
            </w:r>
          </w:p>
        </w:tc>
      </w:tr>
      <w:tr>
        <w:trPr>
          <w:cantSplit/>
        </w:trPr>
        <w:tc>
          <w:tcPr>
            <w:tcW w:type="dxa" w:w="2891"/>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Limpieza profunda posterior</w:t>
            </w:r>
          </w:p>
        </w:tc>
        <w:tc>
          <w:tcPr>
            <w:tcW w:type="dxa" w:w="1928"/>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$30.000</w:t>
            </w:r>
          </w:p>
        </w:tc>
        <w:tc>
          <w:tcPr>
            <w:tcW w:type="dxa" w:w="4819"/>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Cargo por evento del salón; puede remunerar al socio encargado.</w:t>
            </w:r>
          </w:p>
        </w:tc>
      </w:tr>
      <w:tr>
        <w:trPr>
          <w:cantSplit/>
        </w:trPr>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Limpieza extraordinaria</w:t>
            </w:r>
          </w:p>
        </w:tc>
        <w:tc>
          <w:tcPr>
            <w:tcW w:type="dxa" w:w="1928"/>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Costo real</w:t>
            </w:r>
          </w:p>
        </w:tc>
        <w:tc>
          <w:tcPr>
            <w:tcW w:type="dxa" w:w="4819"/>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Se descuenta de garantía, con respaldo y registro.</w:t>
            </w:r>
          </w:p>
        </w:tc>
      </w:tr>
    </w:tbl>
    <w:p>
      <w:pPr>
        <w:spacing w:after="200"/>
      </w:pPr>
    </w:p>
    <w:p>
      <w:pPr>
        <w:pStyle w:val="Heading2"/>
        <w:keepNext/>
        <w:spacing w:after="120" w:before="300"/>
      </w:pPr>
      <w:r>
        <w:rPr>
          <w:rFonts w:ascii="Calibri" w:cs="Calibri" w:eastAsia="Calibri" w:hAnsi="Calibri"/>
          <w:b/>
          <w:bCs/>
          <w:color w:val="00529B"/>
          <w:sz w:val="24"/>
          <w:szCs w:val="24"/>
        </w:rPr>
        <w:t xml:space="preserve">3.4 Descuentos y planes recurrentes</w:t>
      </w:r>
    </w:p>
    <w:p>
      <w:pPr>
        <w:spacing w:after="160" w:line="276"/>
      </w:pPr>
      <w:r>
        <w:rPr>
          <w:rFonts w:ascii="Calibri" w:cs="Calibri" w:eastAsia="Calibri" w:hAnsi="Calibri"/>
          <w:color w:val="222222"/>
          <w:sz w:val="21"/>
          <w:szCs w:val="21"/>
        </w:rPr>
        <w:t xml:space="preserve">Los descuentos nunca reducen los cargos por limpieza, daños, consumos extraordinarios ni elementos adicionales. Toda excepción debe quedar registrada con su aprobador y motivo.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928"/>
        <w:gridCol w:w="4626"/>
      </w:tblGrid>
      <w:tr>
        <w:trPr>
          <w:cantSplit/>
          <w:tblHeader/>
        </w:trPr>
        <w:tc>
          <w:tcPr>
            <w:tcW w:type="dxa" w:w="3084"/>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Beneficiario o plan</w:t>
            </w:r>
          </w:p>
        </w:tc>
        <w:tc>
          <w:tcPr>
            <w:tcW w:type="dxa" w:w="1928"/>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Beneficio</w:t>
            </w:r>
          </w:p>
        </w:tc>
        <w:tc>
          <w:tcPr>
            <w:tcW w:type="dxa" w:w="4626"/>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Condiciones</w:t>
            </w:r>
          </w:p>
        </w:tc>
      </w:tr>
      <w:tr>
        <w:trPr>
          <w:cantSplit/>
        </w:trPr>
        <w:tc>
          <w:tcPr>
            <w:tcW w:type="dxa" w:w="3084"/>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Socios activos y familiares directos</w:t>
            </w:r>
          </w:p>
        </w:tc>
        <w:tc>
          <w:tcPr>
            <w:tcW w:type="dxa" w:w="1928"/>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20% sobre arriendo base</w:t>
            </w:r>
          </w:p>
        </w:tc>
        <w:tc>
          <w:tcPr>
            <w:tcW w:type="dxa" w:w="4626"/>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Sujeto a disponibilidad y aprobación de Presidencia.</w:t>
            </w:r>
          </w:p>
        </w:tc>
      </w:tr>
      <w:tr>
        <w:trPr>
          <w:cantSplit/>
        </w:trPr>
        <w:tc>
          <w:tcPr>
            <w:tcW w:type="dxa" w:w="3084"/>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Organizaciones comunitarias o sin fines de lucro</w:t>
            </w:r>
          </w:p>
        </w:tc>
        <w:tc>
          <w:tcPr>
            <w:tcW w:type="dxa" w:w="1928"/>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Hasta 25%</w:t>
            </w:r>
          </w:p>
        </w:tc>
        <w:tc>
          <w:tcPr>
            <w:tcW w:type="dxa" w:w="4626"/>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Requiere solicitud fundada; no desplaza actividades del Club.</w:t>
            </w:r>
          </w:p>
        </w:tc>
      </w:tr>
      <w:tr>
        <w:trPr>
          <w:cantSplit/>
        </w:trPr>
        <w:tc>
          <w:tcPr>
            <w:tcW w:type="dxa" w:w="3084"/>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Plan recurrente 8–11 h/mes</w:t>
            </w:r>
          </w:p>
        </w:tc>
        <w:tc>
          <w:tcPr>
            <w:tcW w:type="dxa" w:w="1928"/>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10%</w:t>
            </w:r>
          </w:p>
        </w:tc>
        <w:tc>
          <w:tcPr>
            <w:tcW w:type="dxa" w:w="4626"/>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Horario fijo, pago mensual anticipado, no acumulable.</w:t>
            </w:r>
          </w:p>
        </w:tc>
      </w:tr>
      <w:tr>
        <w:trPr>
          <w:cantSplit/>
        </w:trPr>
        <w:tc>
          <w:tcPr>
            <w:tcW w:type="dxa" w:w="3084"/>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Plan recurrente 12–19 h/mes</w:t>
            </w:r>
          </w:p>
        </w:tc>
        <w:tc>
          <w:tcPr>
            <w:tcW w:type="dxa" w:w="1928"/>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15%</w:t>
            </w:r>
          </w:p>
        </w:tc>
        <w:tc>
          <w:tcPr>
            <w:tcW w:type="dxa" w:w="4626"/>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Horario fijo, pago mensual anticipado, no acumulable.</w:t>
            </w:r>
          </w:p>
        </w:tc>
      </w:tr>
      <w:tr>
        <w:trPr>
          <w:cantSplit/>
        </w:trPr>
        <w:tc>
          <w:tcPr>
            <w:tcW w:type="dxa" w:w="3084"/>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Plan recurrente 20 h o más/mes</w:t>
            </w:r>
          </w:p>
        </w:tc>
        <w:tc>
          <w:tcPr>
            <w:tcW w:type="dxa" w:w="1928"/>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20%</w:t>
            </w:r>
          </w:p>
        </w:tc>
        <w:tc>
          <w:tcPr>
            <w:tcW w:type="dxa" w:w="4626"/>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Contrato mensual, revisión de consumos y disponibilidad.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9D3E3" w:sz="4"/>
              <w:left w:val="single" w:color="8C7200" w:sz="24"/>
              <w:bottom w:val="single" w:color="D9D3E3" w:sz="4"/>
              <w:right w:val="single" w:color="D9D3E3" w:sz="4"/>
            </w:tcBorders>
            <w:shd w:fill="FFF7DD" w:color="auto" w:val="clear"/>
            <w:tcMar>
              <w:top w:type="dxa" w:w="160"/>
              <w:left w:type="dxa" w:w="220"/>
              <w:bottom w:type="dxa" w:w="160"/>
              <w:right w:type="dxa" w:w="220"/>
            </w:tcMar>
          </w:tcPr>
          <w:p>
            <w:pPr>
              <w:spacing w:after="60"/>
            </w:pPr>
            <w:r>
              <w:rPr>
                <w:rFonts w:ascii="Calibri" w:cs="Calibri" w:eastAsia="Calibri" w:hAnsi="Calibri"/>
                <w:b/>
                <w:bCs/>
                <w:color w:val="8C7200"/>
                <w:sz w:val="20"/>
                <w:szCs w:val="20"/>
              </w:rPr>
              <w:t xml:space="preserve">Escuela de karate</w:t>
            </w:r>
          </w:p>
          <w:p>
            <w:pPr>
              <w:spacing w:after="0" w:line="268"/>
            </w:pPr>
            <w:r>
              <w:rPr>
                <w:rFonts w:ascii="Calibri" w:cs="Calibri" w:eastAsia="Calibri" w:hAnsi="Calibri"/>
                <w:color w:val="222222"/>
                <w:sz w:val="21"/>
                <w:szCs w:val="21"/>
              </w:rPr>
              <w:t xml:space="preserve">El cobro vigente debe confirmarse antes de aplicar el nuevo modelo. Durante el piloto se recomienda registrar horas reales, frecuencia semanal, servicios usados y costo de apertura/cierre; con esos datos se define el plan recurrente adecuado.</w:t>
            </w:r>
          </w:p>
        </w:tc>
      </w:tr>
    </w:tbl>
    <w:p>
      <w:pPr>
        <w:pStyle w:val="Heading1"/>
        <w:keepNext/>
        <w:pBdr>
          <w:bottom w:val="single" w:color="FFCF00" w:sz="8" w:space="6"/>
        </w:pBdr>
        <w:spacing w:after="200" w:before="480"/>
      </w:pPr>
      <w:r>
        <w:rPr>
          <w:rFonts w:ascii="Calibri" w:cs="Calibri" w:eastAsia="Calibri" w:hAnsi="Calibri"/>
          <w:b/>
          <w:bCs/>
          <w:color w:val="8C7200"/>
          <w:sz w:val="30"/>
          <w:szCs w:val="30"/>
        </w:rPr>
        <w:t xml:space="preserve">4  </w:t>
      </w:r>
      <w:r>
        <w:rPr>
          <w:rFonts w:ascii="Calibri" w:cs="Calibri" w:eastAsia="Calibri" w:hAnsi="Calibri"/>
          <w:b/>
          <w:bCs/>
          <w:color w:val="002D55"/>
          <w:sz w:val="30"/>
          <w:szCs w:val="30"/>
        </w:rPr>
        <w:t xml:space="preserve">Reservas, pagos y garantías</w:t>
      </w:r>
    </w:p>
    <w:p>
      <w:pPr>
        <w:pStyle w:val="Heading2"/>
        <w:keepNext/>
        <w:spacing w:after="120" w:before="300"/>
      </w:pPr>
      <w:r>
        <w:rPr>
          <w:rFonts w:ascii="Calibri" w:cs="Calibri" w:eastAsia="Calibri" w:hAnsi="Calibri"/>
          <w:b/>
          <w:bCs/>
          <w:color w:val="00529B"/>
          <w:sz w:val="24"/>
          <w:szCs w:val="24"/>
        </w:rPr>
        <w:t xml:space="preserve">4.1 Cómo se confirma una reserva</w:t>
      </w:r>
    </w:p>
    <w:p>
      <w:pPr>
        <w:pStyle w:val="ListParagraph"/>
        <w:numPr>
          <w:ilvl w:val="0"/>
          <w:numId w:val="1"/>
        </w:numPr>
        <w:spacing w:after="100" w:line="270"/>
      </w:pPr>
      <w:r>
        <w:rPr>
          <w:rFonts w:ascii="Calibri" w:cs="Calibri" w:eastAsia="Calibri" w:hAnsi="Calibri"/>
          <w:color w:val="222222"/>
          <w:sz w:val="21"/>
          <w:szCs w:val="21"/>
        </w:rPr>
        <w:t xml:space="preserve">La cotización tiene vigencia de 48 horas y no bloquea la fecha sin pago.</w:t>
      </w:r>
    </w:p>
    <w:p>
      <w:pPr>
        <w:pStyle w:val="ListParagraph"/>
        <w:numPr>
          <w:ilvl w:val="0"/>
          <w:numId w:val="1"/>
        </w:numPr>
        <w:spacing w:after="100" w:line="270"/>
      </w:pPr>
      <w:r>
        <w:rPr>
          <w:rFonts w:ascii="Calibri" w:cs="Calibri" w:eastAsia="Calibri" w:hAnsi="Calibri"/>
          <w:color w:val="222222"/>
          <w:sz w:val="21"/>
          <w:szCs w:val="21"/>
        </w:rPr>
        <w:t xml:space="preserve">La reserva se confirma con el pago del 50% del arriendo base y la aceptación escrita de las condiciones.</w:t>
      </w:r>
    </w:p>
    <w:p>
      <w:pPr>
        <w:pStyle w:val="ListParagraph"/>
        <w:numPr>
          <w:ilvl w:val="0"/>
          <w:numId w:val="1"/>
        </w:numPr>
        <w:spacing w:after="100" w:line="270"/>
      </w:pPr>
      <w:r>
        <w:rPr>
          <w:rFonts w:ascii="Calibri" w:cs="Calibri" w:eastAsia="Calibri" w:hAnsi="Calibri"/>
          <w:color w:val="222222"/>
          <w:sz w:val="21"/>
          <w:szCs w:val="21"/>
        </w:rPr>
        <w:t xml:space="preserve">El saldo, los adicionales y la garantía se pagan a más tardar 48 horas antes del inicio.</w:t>
      </w:r>
    </w:p>
    <w:p>
      <w:pPr>
        <w:pStyle w:val="ListParagraph"/>
        <w:numPr>
          <w:ilvl w:val="0"/>
          <w:numId w:val="1"/>
        </w:numPr>
        <w:spacing w:after="100" w:line="270"/>
      </w:pPr>
      <w:r>
        <w:rPr>
          <w:rFonts w:ascii="Calibri" w:cs="Calibri" w:eastAsia="Calibri" w:hAnsi="Calibri"/>
          <w:color w:val="222222"/>
          <w:sz w:val="21"/>
          <w:szCs w:val="21"/>
        </w:rPr>
        <w:t xml:space="preserve">Si el pago no se completa en el plazo, el Club puede liberar la fecha y aplicar la política de cancelación.</w:t>
      </w:r>
    </w:p>
    <w:p>
      <w:pPr>
        <w:pStyle w:val="Heading2"/>
        <w:keepNext/>
        <w:spacing w:after="120" w:before="300"/>
      </w:pPr>
      <w:r>
        <w:rPr>
          <w:rFonts w:ascii="Calibri" w:cs="Calibri" w:eastAsia="Calibri" w:hAnsi="Calibri"/>
          <w:b/>
          <w:bCs/>
          <w:color w:val="00529B"/>
          <w:sz w:val="24"/>
          <w:szCs w:val="24"/>
        </w:rPr>
        <w:t xml:space="preserve">4.2 Garantía por daños</w:t>
      </w:r>
    </w:p>
    <w:p>
      <w:pPr>
        <w:pStyle w:val="ListParagraph"/>
        <w:numPr>
          <w:ilvl w:val="0"/>
          <w:numId w:val="1"/>
        </w:numPr>
        <w:spacing w:after="100" w:line="270"/>
      </w:pPr>
      <w:r>
        <w:rPr>
          <w:rFonts w:ascii="Calibri" w:cs="Calibri" w:eastAsia="Calibri" w:hAnsi="Calibri"/>
          <w:color w:val="222222"/>
          <w:sz w:val="21"/>
          <w:szCs w:val="21"/>
        </w:rPr>
        <w:t xml:space="preserve">Garantía base: $100.000 para el salón principal; sube a $150.000 con uso de cocina, loza, evento nocturno u otra condición de mayor exposición.</w:t>
      </w:r>
    </w:p>
    <w:p>
      <w:pPr>
        <w:pStyle w:val="ListParagraph"/>
        <w:numPr>
          <w:ilvl w:val="0"/>
          <w:numId w:val="1"/>
        </w:numPr>
        <w:spacing w:after="100" w:line="270"/>
      </w:pPr>
      <w:r>
        <w:rPr>
          <w:rFonts w:ascii="Calibri" w:cs="Calibri" w:eastAsia="Calibri" w:hAnsi="Calibri"/>
          <w:color w:val="222222"/>
          <w:sz w:val="21"/>
          <w:szCs w:val="21"/>
        </w:rPr>
        <w:t xml:space="preserve">Es independiente del precio y de la reserva; no constituye ingreso del Club.</w:t>
      </w:r>
    </w:p>
    <w:p>
      <w:pPr>
        <w:pStyle w:val="ListParagraph"/>
        <w:numPr>
          <w:ilvl w:val="0"/>
          <w:numId w:val="1"/>
        </w:numPr>
        <w:spacing w:after="100" w:line="270"/>
      </w:pPr>
      <w:r>
        <w:rPr>
          <w:rFonts w:ascii="Calibri" w:cs="Calibri" w:eastAsia="Calibri" w:hAnsi="Calibri"/>
          <w:color w:val="222222"/>
          <w:sz w:val="21"/>
          <w:szCs w:val="21"/>
        </w:rPr>
        <w:t xml:space="preserve">Se devuelve dentro de los tres días hábiles siguientes, tras revisar el recinto y el inventario.</w:t>
      </w:r>
    </w:p>
    <w:p>
      <w:pPr>
        <w:pStyle w:val="ListParagraph"/>
        <w:numPr>
          <w:ilvl w:val="0"/>
          <w:numId w:val="1"/>
        </w:numPr>
        <w:spacing w:after="100" w:line="270"/>
      </w:pPr>
      <w:r>
        <w:rPr>
          <w:rFonts w:ascii="Calibri" w:cs="Calibri" w:eastAsia="Calibri" w:hAnsi="Calibri"/>
          <w:color w:val="222222"/>
          <w:sz w:val="21"/>
          <w:szCs w:val="21"/>
        </w:rPr>
        <w:t xml:space="preserve">Todo descuento se respalda con acta, fotografías, inventario, boleta o estimación verificable del costo.</w:t>
      </w:r>
    </w:p>
    <w:p>
      <w:pPr>
        <w:pStyle w:val="Heading2"/>
        <w:keepNext/>
        <w:spacing w:after="120" w:before="300"/>
      </w:pPr>
      <w:r>
        <w:rPr>
          <w:rFonts w:ascii="Calibri" w:cs="Calibri" w:eastAsia="Calibri" w:hAnsi="Calibri"/>
          <w:b/>
          <w:bCs/>
          <w:color w:val="00529B"/>
          <w:sz w:val="24"/>
          <w:szCs w:val="24"/>
        </w:rPr>
        <w:t xml:space="preserve">4.3 Política de cancelación y cambio de fecha</w:t>
      </w:r>
    </w:p>
    <w:p>
      <w:pPr>
        <w:spacing w:after="160" w:line="276"/>
      </w:pPr>
      <w:r>
        <w:rPr>
          <w:rFonts w:ascii="Calibri" w:cs="Calibri" w:eastAsia="Calibri" w:hAnsi="Calibri"/>
          <w:color w:val="222222"/>
          <w:sz w:val="21"/>
          <w:szCs w:val="21"/>
        </w:rPr>
        <w:t xml:space="preserve">La lógica es progresiva: a mayor anticipación, mayor devolución. La garantía por daños siempre se devuelve íntegra si el evento no se realiza.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cantSplit/>
          <w:tblHeader/>
        </w:trPr>
        <w:tc>
          <w:tcPr>
            <w:tcW w:type="dxa" w:w="3084"/>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Aviso del cliente</w:t>
            </w:r>
          </w:p>
        </w:tc>
        <w:tc>
          <w:tcPr>
            <w:tcW w:type="dxa" w:w="6554"/>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Aplicación</w:t>
            </w:r>
          </w:p>
        </w:tc>
      </w:tr>
      <w:tr>
        <w:trPr>
          <w:cantSplit/>
        </w:trPr>
        <w:tc>
          <w:tcPr>
            <w:tcW w:type="dxa" w:w="3084"/>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15 días corridos o más</w:t>
            </w:r>
          </w:p>
        </w:tc>
        <w:tc>
          <w:tcPr>
            <w:tcW w:type="dxa" w:w="6554"/>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Devolución del 100% de la reserva, o cambio gratuito de fecha.</w:t>
            </w:r>
          </w:p>
        </w:tc>
      </w:tr>
      <w:tr>
        <w:trPr>
          <w:cantSplit/>
        </w:trPr>
        <w:tc>
          <w:tcPr>
            <w:tcW w:type="dxa" w:w="3084"/>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Entre 8 y 14 días</w:t>
            </w:r>
          </w:p>
        </w:tc>
        <w:tc>
          <w:tcPr>
            <w:tcW w:type="dxa" w:w="6554"/>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El Club retiene el 25% del valor total del arriendo.</w:t>
            </w:r>
          </w:p>
        </w:tc>
      </w:tr>
      <w:tr>
        <w:trPr>
          <w:cantSplit/>
        </w:trPr>
        <w:tc>
          <w:tcPr>
            <w:tcW w:type="dxa" w:w="3084"/>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Entre 3 y 7 días</w:t>
            </w:r>
          </w:p>
        </w:tc>
        <w:tc>
          <w:tcPr>
            <w:tcW w:type="dxa" w:w="6554"/>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El Club retiene el 50% del valor total (equivalente a la reserva).</w:t>
            </w:r>
          </w:p>
        </w:tc>
      </w:tr>
      <w:tr>
        <w:trPr>
          <w:cantSplit/>
        </w:trPr>
        <w:tc>
          <w:tcPr>
            <w:tcW w:type="dxa" w:w="3084"/>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Menos de 72 horas</w:t>
            </w:r>
          </w:p>
        </w:tc>
        <w:tc>
          <w:tcPr>
            <w:tcW w:type="dxa" w:w="6554"/>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No se devuelven los montos pagados.</w:t>
            </w:r>
          </w:p>
        </w:tc>
      </w:tr>
      <w:tr>
        <w:trPr>
          <w:cantSplit/>
        </w:trPr>
        <w:tc>
          <w:tcPr>
            <w:tcW w:type="dxa" w:w="3084"/>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Inasistencia sin aviso</w:t>
            </w:r>
          </w:p>
        </w:tc>
        <w:tc>
          <w:tcPr>
            <w:tcW w:type="dxa" w:w="6554"/>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Se cobra el 100% del arriendo; solo se devuelven garantías no utilizadas.</w:t>
            </w:r>
          </w:p>
        </w:tc>
      </w:tr>
    </w:tbl>
    <w:p>
      <w:pPr>
        <w:spacing w:after="160"/>
      </w:pPr>
    </w:p>
    <w:p>
      <w:pPr>
        <w:pStyle w:val="ListParagraph"/>
        <w:numPr>
          <w:ilvl w:val="0"/>
          <w:numId w:val="1"/>
        </w:numPr>
        <w:spacing w:after="100" w:line="270"/>
      </w:pPr>
      <w:r>
        <w:rPr>
          <w:rFonts w:ascii="Calibri" w:cs="Calibri" w:eastAsia="Calibri" w:hAnsi="Calibri"/>
          <w:color w:val="222222"/>
          <w:sz w:val="21"/>
          <w:szCs w:val="21"/>
        </w:rPr>
        <w:t xml:space="preserve">Cambio de fecha sin costo si se solicita con al menos 7 días de anticipación, sujeto a disponibilidad y uso dentro de los 90 días siguientes.</w:t>
      </w:r>
    </w:p>
    <w:p>
      <w:pPr>
        <w:pStyle w:val="ListParagraph"/>
        <w:numPr>
          <w:ilvl w:val="0"/>
          <w:numId w:val="1"/>
        </w:numPr>
        <w:spacing w:after="100" w:line="270"/>
      </w:pPr>
      <w:r>
        <w:rPr>
          <w:rFonts w:ascii="Calibri" w:cs="Calibri" w:eastAsia="Calibri" w:hAnsi="Calibri"/>
          <w:color w:val="222222"/>
          <w:sz w:val="21"/>
          <w:szCs w:val="21"/>
        </w:rPr>
        <w:t xml:space="preserve">Si el Club cancela por una causa que le es atribuible, el cliente elige entre devolución total o cambio de fecha sin costo.</w:t>
      </w:r>
    </w:p>
    <w:p>
      <w:pPr>
        <w:pStyle w:val="ListParagraph"/>
        <w:numPr>
          <w:ilvl w:val="0"/>
          <w:numId w:val="1"/>
        </w:numPr>
        <w:spacing w:after="100" w:line="270"/>
      </w:pPr>
      <w:r>
        <w:rPr>
          <w:rFonts w:ascii="Calibri" w:cs="Calibri" w:eastAsia="Calibri" w:hAnsi="Calibri"/>
          <w:color w:val="222222"/>
          <w:sz w:val="21"/>
          <w:szCs w:val="21"/>
        </w:rPr>
        <w:t xml:space="preserve">Los casos de fuerza mayor acreditada los resuelve la comisión, dejando la decisión por escrito.</w:t>
      </w:r>
    </w:p>
    <w:p>
      <w:pPr>
        <w:pStyle w:val="Heading1"/>
        <w:keepNext/>
        <w:pBdr>
          <w:bottom w:val="single" w:color="FFCF00" w:sz="8" w:space="6"/>
        </w:pBdr>
        <w:spacing w:after="200" w:before="480"/>
      </w:pPr>
      <w:r>
        <w:rPr>
          <w:rFonts w:ascii="Calibri" w:cs="Calibri" w:eastAsia="Calibri" w:hAnsi="Calibri"/>
          <w:b/>
          <w:bCs/>
          <w:color w:val="8C7200"/>
          <w:sz w:val="30"/>
          <w:szCs w:val="30"/>
        </w:rPr>
        <w:t xml:space="preserve">5  </w:t>
      </w:r>
      <w:r>
        <w:rPr>
          <w:rFonts w:ascii="Calibri" w:cs="Calibri" w:eastAsia="Calibri" w:hAnsi="Calibri"/>
          <w:b/>
          <w:bCs/>
          <w:color w:val="002D55"/>
          <w:sz w:val="30"/>
          <w:szCs w:val="30"/>
        </w:rPr>
        <w:t xml:space="preserve">Condiciones de uso</w:t>
      </w:r>
    </w:p>
    <w:p>
      <w:pPr>
        <w:pStyle w:val="Heading2"/>
        <w:keepNext/>
        <w:spacing w:after="120" w:before="300"/>
      </w:pPr>
      <w:r>
        <w:rPr>
          <w:rFonts w:ascii="Calibri" w:cs="Calibri" w:eastAsia="Calibri" w:hAnsi="Calibri"/>
          <w:b/>
          <w:bCs/>
          <w:color w:val="00529B"/>
          <w:sz w:val="24"/>
          <w:szCs w:val="24"/>
        </w:rPr>
        <w:t xml:space="preserve">5.1 Horarios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699"/>
        <w:gridCol w:w="4048"/>
      </w:tblGrid>
      <w:tr>
        <w:trPr>
          <w:cantSplit/>
          <w:tblHeader/>
        </w:trPr>
        <w:tc>
          <w:tcPr>
            <w:tcW w:type="dxa" w:w="2891"/>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Día</w:t>
            </w:r>
          </w:p>
        </w:tc>
        <w:tc>
          <w:tcPr>
            <w:tcW w:type="dxa" w:w="2699"/>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Horario máximo</w:t>
            </w:r>
          </w:p>
        </w:tc>
        <w:tc>
          <w:tcPr>
            <w:tcW w:type="dxa" w:w="4048"/>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Observación</w:t>
            </w:r>
          </w:p>
        </w:tc>
      </w:tr>
      <w:tr>
        <w:trPr>
          <w:cantSplit/>
        </w:trPr>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Domingo a jueves</w:t>
            </w:r>
          </w:p>
        </w:tc>
        <w:tc>
          <w:tcPr>
            <w:tcW w:type="dxa" w:w="2699"/>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Término máximo 01:00</w:t>
            </w:r>
          </w:p>
        </w:tc>
        <w:tc>
          <w:tcPr>
            <w:tcW w:type="dxa" w:w="4048"/>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Sujeto a restricciones municipales y control de ruidos.</w:t>
            </w:r>
          </w:p>
        </w:tc>
      </w:tr>
      <w:tr>
        <w:trPr>
          <w:cantSplit/>
        </w:trPr>
        <w:tc>
          <w:tcPr>
            <w:tcW w:type="dxa" w:w="2891"/>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Viernes, sábado y víspera de festivo</w:t>
            </w:r>
          </w:p>
        </w:tc>
        <w:tc>
          <w:tcPr>
            <w:tcW w:type="dxa" w:w="2699"/>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Término máximo 03:00</w:t>
            </w:r>
          </w:p>
        </w:tc>
        <w:tc>
          <w:tcPr>
            <w:tcW w:type="dxa" w:w="4048"/>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Solo con aprobación expresa y entrega programada.</w:t>
            </w:r>
          </w:p>
        </w:tc>
      </w:tr>
      <w:tr>
        <w:trPr>
          <w:cantSplit/>
        </w:trPr>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Actividades del Club</w:t>
            </w:r>
          </w:p>
        </w:tc>
        <w:tc>
          <w:tcPr>
            <w:tcW w:type="dxa" w:w="2699"/>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Prioridad de agenda</w:t>
            </w:r>
          </w:p>
        </w:tc>
        <w:tc>
          <w:tcPr>
            <w:tcW w:type="dxa" w:w="4048"/>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Reuniones y acciones institucionales pueden bloquear fechas.</w:t>
            </w:r>
          </w:p>
        </w:tc>
      </w:tr>
    </w:tbl>
    <w:p>
      <w:pPr>
        <w:spacing w:after="160" w:line="276"/>
      </w:pPr>
      <w:r>
        <w:rPr>
          <w:rFonts w:ascii="Calibri" w:cs="Calibri" w:eastAsia="Calibri" w:hAnsi="Calibri"/>
          <w:i/>
          <w:iCs/>
          <w:color w:val="222222"/>
          <w:sz w:val="20"/>
          <w:szCs w:val="20"/>
        </w:rPr>
        <w:t xml:space="preserve">Las reuniones regulares del Club se realizan en viernes alternos a las 19:30. La agenda oficial se bloquea mensualmente; las fechas posteriores al 4 y 18 de septiembre deben confirmarse antes de publicar disponibilidad.</w:t>
      </w:r>
    </w:p>
    <w:p>
      <w:pPr>
        <w:pStyle w:val="Heading2"/>
        <w:keepNext/>
        <w:spacing w:after="120" w:before="300"/>
      </w:pPr>
      <w:r>
        <w:rPr>
          <w:rFonts w:ascii="Calibri" w:cs="Calibri" w:eastAsia="Calibri" w:hAnsi="Calibri"/>
          <w:b/>
          <w:bCs/>
          <w:color w:val="00529B"/>
          <w:sz w:val="24"/>
          <w:szCs w:val="24"/>
        </w:rPr>
        <w:t xml:space="preserve">5.2 Obligaciones del arrendatario</w:t>
      </w:r>
    </w:p>
    <w:p>
      <w:pPr>
        <w:pStyle w:val="ListParagraph"/>
        <w:numPr>
          <w:ilvl w:val="0"/>
          <w:numId w:val="1"/>
        </w:numPr>
        <w:spacing w:after="100" w:line="270"/>
      </w:pPr>
      <w:r>
        <w:rPr>
          <w:rFonts w:ascii="Calibri" w:cs="Calibri" w:eastAsia="Calibri" w:hAnsi="Calibri"/>
          <w:color w:val="222222"/>
          <w:sz w:val="21"/>
          <w:szCs w:val="21"/>
        </w:rPr>
        <w:t xml:space="preserve">Designar un responsable adulto, entregar identificación y mantener un contacto disponible durante toda la actividad.</w:t>
      </w:r>
    </w:p>
    <w:p>
      <w:pPr>
        <w:pStyle w:val="ListParagraph"/>
        <w:numPr>
          <w:ilvl w:val="0"/>
          <w:numId w:val="1"/>
        </w:numPr>
        <w:spacing w:after="100" w:line="270"/>
      </w:pPr>
      <w:r>
        <w:rPr>
          <w:rFonts w:ascii="Calibri" w:cs="Calibri" w:eastAsia="Calibri" w:hAnsi="Calibri"/>
          <w:color w:val="222222"/>
          <w:sz w:val="21"/>
          <w:szCs w:val="21"/>
        </w:rPr>
        <w:t xml:space="preserve">Respetar el horario, la capacidad autorizada, el uso declarado y las instrucciones de seguridad.</w:t>
      </w:r>
    </w:p>
    <w:p>
      <w:pPr>
        <w:pStyle w:val="ListParagraph"/>
        <w:numPr>
          <w:ilvl w:val="0"/>
          <w:numId w:val="1"/>
        </w:numPr>
        <w:spacing w:after="100" w:line="270"/>
      </w:pPr>
      <w:r>
        <w:rPr>
          <w:rFonts w:ascii="Calibri" w:cs="Calibri" w:eastAsia="Calibri" w:hAnsi="Calibri"/>
          <w:color w:val="222222"/>
          <w:sz w:val="21"/>
          <w:szCs w:val="21"/>
        </w:rPr>
        <w:t xml:space="preserve">Realizar el orden y aseo básico, retirar residuos y entregar el mobiliario en su ubicación definida.</w:t>
      </w:r>
    </w:p>
    <w:p>
      <w:pPr>
        <w:pStyle w:val="ListParagraph"/>
        <w:numPr>
          <w:ilvl w:val="0"/>
          <w:numId w:val="1"/>
        </w:numPr>
        <w:spacing w:after="100" w:line="270"/>
      </w:pPr>
      <w:r>
        <w:rPr>
          <w:rFonts w:ascii="Calibri" w:cs="Calibri" w:eastAsia="Calibri" w:hAnsi="Calibri"/>
          <w:color w:val="222222"/>
          <w:sz w:val="21"/>
          <w:szCs w:val="21"/>
        </w:rPr>
        <w:t xml:space="preserve">Responder por sus asistentes, proveedores, daños, pérdidas, ruidos e incumplimientos.</w:t>
      </w:r>
    </w:p>
    <w:p>
      <w:pPr>
        <w:pStyle w:val="ListParagraph"/>
        <w:numPr>
          <w:ilvl w:val="0"/>
          <w:numId w:val="1"/>
        </w:numPr>
        <w:spacing w:after="100" w:line="270"/>
      </w:pPr>
      <w:r>
        <w:rPr>
          <w:rFonts w:ascii="Calibri" w:cs="Calibri" w:eastAsia="Calibri" w:hAnsi="Calibri"/>
          <w:color w:val="222222"/>
          <w:sz w:val="21"/>
          <w:szCs w:val="21"/>
        </w:rPr>
        <w:t xml:space="preserve">Obtener los permisos específicos de su actividad y exhibirlos cuando el Club los solicite.</w:t>
      </w:r>
    </w:p>
    <w:p>
      <w:pPr>
        <w:pStyle w:val="Heading2"/>
        <w:keepNext/>
        <w:spacing w:after="120" w:before="300"/>
      </w:pPr>
      <w:r>
        <w:rPr>
          <w:rFonts w:ascii="Calibri" w:cs="Calibri" w:eastAsia="Calibri" w:hAnsi="Calibri"/>
          <w:b/>
          <w:bCs/>
          <w:color w:val="00529B"/>
          <w:sz w:val="24"/>
          <w:szCs w:val="24"/>
        </w:rPr>
        <w:t xml:space="preserve">5.3 Qué no está permitido</w:t>
      </w:r>
    </w:p>
    <w:p>
      <w:pPr>
        <w:pStyle w:val="ListParagraph"/>
        <w:numPr>
          <w:ilvl w:val="0"/>
          <w:numId w:val="1"/>
        </w:numPr>
        <w:spacing w:after="100" w:line="270"/>
      </w:pPr>
      <w:r>
        <w:rPr>
          <w:rFonts w:ascii="Calibri" w:cs="Calibri" w:eastAsia="Calibri" w:hAnsi="Calibri"/>
          <w:color w:val="222222"/>
          <w:sz w:val="21"/>
          <w:szCs w:val="21"/>
        </w:rPr>
        <w:t xml:space="preserve">Cualquier actividad ilícita, peligrosa o que pueda dañar el inmueble, el mobiliario o a terceros.</w:t>
      </w:r>
    </w:p>
    <w:p>
      <w:pPr>
        <w:pStyle w:val="ListParagraph"/>
        <w:numPr>
          <w:ilvl w:val="0"/>
          <w:numId w:val="1"/>
        </w:numPr>
        <w:spacing w:after="100" w:line="270"/>
      </w:pPr>
      <w:r>
        <w:rPr>
          <w:rFonts w:ascii="Calibri" w:cs="Calibri" w:eastAsia="Calibri" w:hAnsi="Calibri"/>
          <w:color w:val="222222"/>
          <w:sz w:val="21"/>
          <w:szCs w:val="21"/>
        </w:rPr>
        <w:t xml:space="preserve">Consumo o distribución de drogas ilícitas, conductas violentas, hostigamiento o alteraciones graves del orden.</w:t>
      </w:r>
    </w:p>
    <w:p>
      <w:pPr>
        <w:pStyle w:val="ListParagraph"/>
        <w:numPr>
          <w:ilvl w:val="0"/>
          <w:numId w:val="1"/>
        </w:numPr>
        <w:spacing w:after="100" w:line="270"/>
      </w:pPr>
      <w:r>
        <w:rPr>
          <w:rFonts w:ascii="Calibri" w:cs="Calibri" w:eastAsia="Calibri" w:hAnsi="Calibri"/>
          <w:color w:val="222222"/>
          <w:sz w:val="21"/>
          <w:szCs w:val="21"/>
        </w:rPr>
        <w:t xml:space="preserve">Ruidos molestos, sobrepaso del horario, bloqueo de vías de evacuación o exceso de capacidad.</w:t>
      </w:r>
    </w:p>
    <w:p>
      <w:pPr>
        <w:pStyle w:val="ListParagraph"/>
        <w:numPr>
          <w:ilvl w:val="0"/>
          <w:numId w:val="1"/>
        </w:numPr>
        <w:spacing w:after="100" w:line="270"/>
      </w:pPr>
      <w:r>
        <w:rPr>
          <w:rFonts w:ascii="Calibri" w:cs="Calibri" w:eastAsia="Calibri" w:hAnsi="Calibri"/>
          <w:color w:val="222222"/>
          <w:sz w:val="21"/>
          <w:szCs w:val="21"/>
        </w:rPr>
        <w:t xml:space="preserve">Subarrendar, ceder la reserva o cambiar el uso declarado sin autorización escrita.</w:t>
      </w:r>
    </w:p>
    <w:p>
      <w:pPr>
        <w:pStyle w:val="Heading1"/>
        <w:keepNext/>
        <w:pBdr>
          <w:bottom w:val="single" w:color="FFCF00" w:sz="8" w:space="6"/>
        </w:pBdr>
        <w:spacing w:after="200" w:before="480"/>
      </w:pPr>
      <w:r>
        <w:rPr>
          <w:rFonts w:ascii="Calibri" w:cs="Calibri" w:eastAsia="Calibri" w:hAnsi="Calibri"/>
          <w:b/>
          <w:bCs/>
          <w:color w:val="8C7200"/>
          <w:sz w:val="30"/>
          <w:szCs w:val="30"/>
        </w:rPr>
        <w:t xml:space="preserve">6  </w:t>
      </w:r>
      <w:r>
        <w:rPr>
          <w:rFonts w:ascii="Calibri" w:cs="Calibri" w:eastAsia="Calibri" w:hAnsi="Calibri"/>
          <w:b/>
          <w:bCs/>
          <w:color w:val="002D55"/>
          <w:sz w:val="30"/>
          <w:szCs w:val="30"/>
        </w:rPr>
        <w:t xml:space="preserve">Cómo se administra el piloto</w:t>
      </w:r>
    </w:p>
    <w:p>
      <w:pPr>
        <w:spacing w:after="160" w:line="276"/>
      </w:pPr>
      <w:r>
        <w:rPr>
          <w:rFonts w:ascii="Calibri" w:cs="Calibri" w:eastAsia="Calibri" w:hAnsi="Calibri"/>
          <w:color w:val="222222"/>
          <w:sz w:val="21"/>
          <w:szCs w:val="21"/>
        </w:rPr>
        <w:t xml:space="preserve">Durante los 90 días se propone una administración simple, con separación entre aprobación, caja e inventario. Esto evita que una sola persona concentre todos los controles y permite rendir cuentas a la Junta.</w:t>
      </w:r>
    </w:p>
    <w:p>
      <w:pPr>
        <w:pStyle w:val="Heading2"/>
        <w:keepNext/>
        <w:spacing w:after="120" w:before="300"/>
      </w:pPr>
      <w:r>
        <w:rPr>
          <w:rFonts w:ascii="Calibri" w:cs="Calibri" w:eastAsia="Calibri" w:hAnsi="Calibri"/>
          <w:b/>
          <w:bCs/>
          <w:color w:val="00529B"/>
          <w:sz w:val="24"/>
          <w:szCs w:val="24"/>
        </w:rPr>
        <w:t xml:space="preserve">6.1 Responsables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891"/>
        <w:gridCol w:w="3470"/>
      </w:tblGrid>
      <w:tr>
        <w:trPr>
          <w:cantSplit/>
          <w:tblHeader/>
        </w:trPr>
        <w:tc>
          <w:tcPr>
            <w:tcW w:type="dxa" w:w="3277"/>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Función</w:t>
            </w:r>
          </w:p>
        </w:tc>
        <w:tc>
          <w:tcPr>
            <w:tcW w:type="dxa" w:w="2891"/>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Responsable provisional</w:t>
            </w:r>
          </w:p>
        </w:tc>
        <w:tc>
          <w:tcPr>
            <w:tcW w:type="dxa" w:w="3470"/>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Evidencia mínima</w:t>
            </w:r>
          </w:p>
        </w:tc>
      </w:tr>
      <w:tr>
        <w:trPr>
          <w:cantSplit/>
        </w:trPr>
        <w:tc>
          <w:tcPr>
            <w:tcW w:type="dxa" w:w="327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Recepción y aprobación de reservas</w:t>
            </w:r>
          </w:p>
        </w:tc>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Presidenta Fanny Herrera</w:t>
            </w:r>
          </w:p>
        </w:tc>
        <w:tc>
          <w:tcPr>
            <w:tcW w:type="dxa" w:w="3470"/>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Solicitud, cotización y calendario compartido.</w:t>
            </w:r>
          </w:p>
        </w:tc>
      </w:tr>
      <w:tr>
        <w:trPr>
          <w:cantSplit/>
        </w:trPr>
        <w:tc>
          <w:tcPr>
            <w:tcW w:type="dxa" w:w="327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Entrega y recepción del recinto</w:t>
            </w:r>
          </w:p>
        </w:tc>
        <w:tc>
          <w:tcPr>
            <w:tcW w:type="dxa" w:w="2891"/>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Fanny Herrera o persona designada</w:t>
            </w:r>
          </w:p>
        </w:tc>
        <w:tc>
          <w:tcPr>
            <w:tcW w:type="dxa" w:w="3470"/>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Checklist, fotografías, llaves y acta firmada.</w:t>
            </w:r>
          </w:p>
        </w:tc>
      </w:tr>
      <w:tr>
        <w:trPr>
          <w:cantSplit/>
        </w:trPr>
        <w:tc>
          <w:tcPr>
            <w:tcW w:type="dxa" w:w="327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Inventario de cocina, mobiliario y loza</w:t>
            </w:r>
          </w:p>
        </w:tc>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Mirta Herrera, domadora</w:t>
            </w:r>
          </w:p>
        </w:tc>
        <w:tc>
          <w:tcPr>
            <w:tcW w:type="dxa" w:w="3470"/>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Inventario inicial/final y registro de faltantes.</w:t>
            </w:r>
          </w:p>
        </w:tc>
      </w:tr>
      <w:tr>
        <w:trPr>
          <w:cantSplit/>
        </w:trPr>
        <w:tc>
          <w:tcPr>
            <w:tcW w:type="dxa" w:w="327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Recepción de pagos y devolución de garantía</w:t>
            </w:r>
          </w:p>
        </w:tc>
        <w:tc>
          <w:tcPr>
            <w:tcW w:type="dxa" w:w="2891"/>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Eugenio Bastiás, tesorero</w:t>
            </w:r>
          </w:p>
        </w:tc>
        <w:tc>
          <w:tcPr>
            <w:tcW w:type="dxa" w:w="3470"/>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Comprobante, registro de caja y autorización de devolución.</w:t>
            </w:r>
          </w:p>
        </w:tc>
      </w:tr>
      <w:tr>
        <w:trPr>
          <w:cantSplit/>
        </w:trPr>
        <w:tc>
          <w:tcPr>
            <w:tcW w:type="dxa" w:w="3277"/>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Cobro por daños y resolución de incidencias</w:t>
            </w:r>
          </w:p>
        </w:tc>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Fanny Herrera + Eugenio Bastiás</w:t>
            </w:r>
          </w:p>
        </w:tc>
        <w:tc>
          <w:tcPr>
            <w:tcW w:type="dxa" w:w="3470"/>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Acta, respaldo del costo y comunicación al cliente.</w:t>
            </w:r>
          </w:p>
        </w:tc>
      </w:tr>
      <w:tr>
        <w:trPr>
          <w:cantSplit/>
        </w:trPr>
        <w:tc>
          <w:tcPr>
            <w:tcW w:type="dxa" w:w="3277"/>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Control mensual</w:t>
            </w:r>
          </w:p>
        </w:tc>
        <w:tc>
          <w:tcPr>
            <w:tcW w:type="dxa" w:w="2891"/>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Junta Directiva</w:t>
            </w:r>
          </w:p>
        </w:tc>
        <w:tc>
          <w:tcPr>
            <w:tcW w:type="dxa" w:w="3470"/>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Tablero de indicadores y acta de revisión.</w:t>
            </w:r>
          </w:p>
        </w:tc>
      </w:tr>
    </w:tbl>
    <w:p>
      <w:pPr>
        <w:spacing w:after="220"/>
      </w:pPr>
    </w:p>
    <w:p>
      <w:pPr>
        <w:pStyle w:val="Heading2"/>
        <w:keepNext/>
        <w:spacing w:after="120" w:before="300"/>
      </w:pPr>
      <w:r>
        <w:rPr>
          <w:rFonts w:ascii="Calibri" w:cs="Calibri" w:eastAsia="Calibri" w:hAnsi="Calibri"/>
          <w:b/>
          <w:bCs/>
          <w:color w:val="00529B"/>
          <w:sz w:val="24"/>
          <w:szCs w:val="24"/>
        </w:rPr>
        <w:t xml:space="preserve">6.2 Flujo de una reserva, paso a paso</w:t>
      </w:r>
    </w:p>
    <w:p>
      <w:pPr>
        <w:spacing w:after="110" w:line="270"/>
        <w:ind w:left="403" w:hanging="403"/>
      </w:pPr>
      <w:r>
        <w:rPr>
          <w:rFonts w:ascii="Calibri" w:cs="Calibri" w:eastAsia="Calibri" w:hAnsi="Calibri"/>
          <w:b/>
          <w:bCs/>
          <w:color w:val="00529B"/>
          <w:sz w:val="21"/>
          <w:szCs w:val="21"/>
        </w:rPr>
        <w:t xml:space="preserve">1. </w:t>
      </w:r>
      <w:r>
        <w:rPr>
          <w:rFonts w:ascii="Calibri" w:cs="Calibri" w:eastAsia="Calibri" w:hAnsi="Calibri"/>
          <w:color w:val="222222"/>
          <w:sz w:val="21"/>
          <w:szCs w:val="21"/>
        </w:rPr>
        <w:t xml:space="preserve">Recibir la solicitud: fecha, horario, asistentes estimados, actividad, servicios y responsable.</w:t>
      </w:r>
    </w:p>
    <w:p>
      <w:pPr>
        <w:spacing w:after="110" w:line="270"/>
        <w:ind w:left="403" w:hanging="403"/>
      </w:pPr>
      <w:r>
        <w:rPr>
          <w:rFonts w:ascii="Calibri" w:cs="Calibri" w:eastAsia="Calibri" w:hAnsi="Calibri"/>
          <w:b/>
          <w:bCs/>
          <w:color w:val="00529B"/>
          <w:sz w:val="21"/>
          <w:szCs w:val="21"/>
        </w:rPr>
        <w:t xml:space="preserve">2. </w:t>
      </w:r>
      <w:r>
        <w:rPr>
          <w:rFonts w:ascii="Calibri" w:cs="Calibri" w:eastAsia="Calibri" w:hAnsi="Calibri"/>
          <w:color w:val="222222"/>
          <w:sz w:val="21"/>
          <w:szCs w:val="21"/>
        </w:rPr>
        <w:t xml:space="preserve">Validar la disponibilidad institucional y las condiciones del uso solicitado.</w:t>
      </w:r>
    </w:p>
    <w:p>
      <w:pPr>
        <w:spacing w:after="110" w:line="270"/>
        <w:ind w:left="403" w:hanging="403"/>
      </w:pPr>
      <w:r>
        <w:rPr>
          <w:rFonts w:ascii="Calibri" w:cs="Calibri" w:eastAsia="Calibri" w:hAnsi="Calibri"/>
          <w:b/>
          <w:bCs/>
          <w:color w:val="00529B"/>
          <w:sz w:val="21"/>
          <w:szCs w:val="21"/>
        </w:rPr>
        <w:t xml:space="preserve">3. </w:t>
      </w:r>
      <w:r>
        <w:rPr>
          <w:rFonts w:ascii="Calibri" w:cs="Calibri" w:eastAsia="Calibri" w:hAnsi="Calibri"/>
          <w:color w:val="222222"/>
          <w:sz w:val="21"/>
          <w:szCs w:val="21"/>
        </w:rPr>
        <w:t xml:space="preserve">Emitir la cotización con arriendo, adicionales, limpieza, garantía y política de cancelación.</w:t>
      </w:r>
    </w:p>
    <w:p>
      <w:pPr>
        <w:spacing w:after="110" w:line="270"/>
        <w:ind w:left="403" w:hanging="403"/>
      </w:pPr>
      <w:r>
        <w:rPr>
          <w:rFonts w:ascii="Calibri" w:cs="Calibri" w:eastAsia="Calibri" w:hAnsi="Calibri"/>
          <w:b/>
          <w:bCs/>
          <w:color w:val="00529B"/>
          <w:sz w:val="21"/>
          <w:szCs w:val="21"/>
        </w:rPr>
        <w:t xml:space="preserve">4. </w:t>
      </w:r>
      <w:r>
        <w:rPr>
          <w:rFonts w:ascii="Calibri" w:cs="Calibri" w:eastAsia="Calibri" w:hAnsi="Calibri"/>
          <w:color w:val="222222"/>
          <w:sz w:val="21"/>
          <w:szCs w:val="21"/>
        </w:rPr>
        <w:t xml:space="preserve">Confirmar con aceptación escrita y pago del 50%; bloquear la fecha en el calendario.</w:t>
      </w:r>
    </w:p>
    <w:p>
      <w:pPr>
        <w:spacing w:after="110" w:line="270"/>
        <w:ind w:left="403" w:hanging="403"/>
      </w:pPr>
      <w:r>
        <w:rPr>
          <w:rFonts w:ascii="Calibri" w:cs="Calibri" w:eastAsia="Calibri" w:hAnsi="Calibri"/>
          <w:b/>
          <w:bCs/>
          <w:color w:val="00529B"/>
          <w:sz w:val="21"/>
          <w:szCs w:val="21"/>
        </w:rPr>
        <w:t xml:space="preserve">5. </w:t>
      </w:r>
      <w:r>
        <w:rPr>
          <w:rFonts w:ascii="Calibri" w:cs="Calibri" w:eastAsia="Calibri" w:hAnsi="Calibri"/>
          <w:color w:val="222222"/>
          <w:sz w:val="21"/>
          <w:szCs w:val="21"/>
        </w:rPr>
        <w:t xml:space="preserve">Completar el saldo y la garantía 48 horas antes; preparar checklist e inventario.</w:t>
      </w:r>
    </w:p>
    <w:p>
      <w:pPr>
        <w:spacing w:after="110" w:line="270"/>
        <w:ind w:left="403" w:hanging="403"/>
      </w:pPr>
      <w:r>
        <w:rPr>
          <w:rFonts w:ascii="Calibri" w:cs="Calibri" w:eastAsia="Calibri" w:hAnsi="Calibri"/>
          <w:b/>
          <w:bCs/>
          <w:color w:val="00529B"/>
          <w:sz w:val="21"/>
          <w:szCs w:val="21"/>
        </w:rPr>
        <w:t xml:space="preserve">6. </w:t>
      </w:r>
      <w:r>
        <w:rPr>
          <w:rFonts w:ascii="Calibri" w:cs="Calibri" w:eastAsia="Calibri" w:hAnsi="Calibri"/>
          <w:color w:val="222222"/>
          <w:sz w:val="21"/>
          <w:szCs w:val="21"/>
        </w:rPr>
        <w:t xml:space="preserve">Entregar el espacio, supervisar los hitos definidos y recibirlo de vuelta al cierre.</w:t>
      </w:r>
    </w:p>
    <w:p>
      <w:pPr>
        <w:spacing w:after="110" w:line="270"/>
        <w:ind w:left="403" w:hanging="403"/>
      </w:pPr>
      <w:r>
        <w:rPr>
          <w:rFonts w:ascii="Calibri" w:cs="Calibri" w:eastAsia="Calibri" w:hAnsi="Calibri"/>
          <w:b/>
          <w:bCs/>
          <w:color w:val="00529B"/>
          <w:sz w:val="21"/>
          <w:szCs w:val="21"/>
        </w:rPr>
        <w:t xml:space="preserve">7. </w:t>
      </w:r>
      <w:r>
        <w:rPr>
          <w:rFonts w:ascii="Calibri" w:cs="Calibri" w:eastAsia="Calibri" w:hAnsi="Calibri"/>
          <w:color w:val="222222"/>
          <w:sz w:val="21"/>
          <w:szCs w:val="21"/>
        </w:rPr>
        <w:t xml:space="preserve">Cerrar dentro de 24 horas: registrar ingreso, costos, daños, voluntariado y evaluación; devolver la garantía en plazo.</w:t>
      </w:r>
    </w:p>
    <w:p>
      <w:pPr>
        <w:pStyle w:val="Heading1"/>
        <w:keepNext/>
        <w:pBdr>
          <w:bottom w:val="single" w:color="FFCF00" w:sz="8" w:space="6"/>
        </w:pBdr>
        <w:spacing w:after="200" w:before="480"/>
      </w:pPr>
      <w:r>
        <w:rPr>
          <w:rFonts w:ascii="Calibri" w:cs="Calibri" w:eastAsia="Calibri" w:hAnsi="Calibri"/>
          <w:b/>
          <w:bCs/>
          <w:color w:val="8C7200"/>
          <w:sz w:val="30"/>
          <w:szCs w:val="30"/>
        </w:rPr>
        <w:t xml:space="preserve">7  </w:t>
      </w:r>
      <w:r>
        <w:rPr>
          <w:rFonts w:ascii="Calibri" w:cs="Calibri" w:eastAsia="Calibri" w:hAnsi="Calibri"/>
          <w:b/>
          <w:bCs/>
          <w:color w:val="002D55"/>
          <w:sz w:val="30"/>
          <w:szCs w:val="30"/>
        </w:rPr>
        <w:t xml:space="preserve">Cronograma del piloto (90 días)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735"/>
        <w:gridCol w:w="5590"/>
      </w:tblGrid>
      <w:tr>
        <w:trPr>
          <w:cantSplit/>
          <w:tblHeader/>
        </w:trPr>
        <w:tc>
          <w:tcPr>
            <w:tcW w:type="dxa" w:w="2313"/>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Etapa</w:t>
            </w:r>
          </w:p>
        </w:tc>
        <w:tc>
          <w:tcPr>
            <w:tcW w:type="dxa" w:w="1735"/>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Plazo</w:t>
            </w:r>
          </w:p>
        </w:tc>
        <w:tc>
          <w:tcPr>
            <w:tcW w:type="dxa" w:w="5590"/>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Resultado verificable</w:t>
            </w:r>
          </w:p>
        </w:tc>
      </w:tr>
      <w:tr>
        <w:trPr>
          <w:cantSplit/>
        </w:trPr>
        <w:tc>
          <w:tcPr>
            <w:tcW w:type="dxa" w:w="2313"/>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Preparación</w:t>
            </w:r>
          </w:p>
        </w:tc>
        <w:tc>
          <w:tcPr>
            <w:tcW w:type="dxa" w:w="1735"/>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Días 0–15</w:t>
            </w:r>
          </w:p>
        </w:tc>
        <w:tc>
          <w:tcPr>
            <w:tcW w:type="dxa" w:w="5590"/>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Checklist habilitante, inventario, calendario, ficha comercial y formularios.</w:t>
            </w:r>
          </w:p>
        </w:tc>
      </w:tr>
      <w:tr>
        <w:trPr>
          <w:cantSplit/>
        </w:trPr>
        <w:tc>
          <w:tcPr>
            <w:tcW w:type="dxa" w:w="2313"/>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Apertura controlada</w:t>
            </w:r>
          </w:p>
        </w:tc>
        <w:tc>
          <w:tcPr>
            <w:tcW w:type="dxa" w:w="1735"/>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Días 16–30</w:t>
            </w:r>
          </w:p>
        </w:tc>
        <w:tc>
          <w:tcPr>
            <w:tcW w:type="dxa" w:w="5590"/>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Primeras reservas limitadas y corrección de fallas operativas.</w:t>
            </w:r>
          </w:p>
        </w:tc>
      </w:tr>
      <w:tr>
        <w:trPr>
          <w:cantSplit/>
        </w:trPr>
        <w:tc>
          <w:tcPr>
            <w:tcW w:type="dxa" w:w="2313"/>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Operación y aprendizaje</w:t>
            </w:r>
          </w:p>
        </w:tc>
        <w:tc>
          <w:tcPr>
            <w:tcW w:type="dxa" w:w="1735"/>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Días 31–75</w:t>
            </w:r>
          </w:p>
        </w:tc>
        <w:tc>
          <w:tcPr>
            <w:tcW w:type="dxa" w:w="5590"/>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Registro de demanda, ingresos, costos, reclamos y uso recurrente.</w:t>
            </w:r>
          </w:p>
        </w:tc>
      </w:tr>
      <w:tr>
        <w:trPr>
          <w:cantSplit/>
        </w:trPr>
        <w:tc>
          <w:tcPr>
            <w:tcW w:type="dxa" w:w="2313"/>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Evaluación</w:t>
            </w:r>
          </w:p>
        </w:tc>
        <w:tc>
          <w:tcPr>
            <w:tcW w:type="dxa" w:w="1735"/>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Días 76–90</w:t>
            </w:r>
          </w:p>
        </w:tc>
        <w:tc>
          <w:tcPr>
            <w:tcW w:type="dxa" w:w="5590"/>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Informe final, tarifas ajustadas y plan de mejoras priorizado.</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9D3E3" w:sz="4"/>
              <w:left w:val="single" w:color="8C7200" w:sz="24"/>
              <w:bottom w:val="single" w:color="D9D3E3" w:sz="4"/>
              <w:right w:val="single" w:color="D9D3E3" w:sz="4"/>
            </w:tcBorders>
            <w:shd w:fill="FFF7DD" w:color="auto" w:val="clear"/>
            <w:tcMar>
              <w:top w:type="dxa" w:w="160"/>
              <w:left w:type="dxa" w:w="220"/>
              <w:bottom w:type="dxa" w:w="160"/>
              <w:right w:type="dxa" w:w="220"/>
            </w:tcMar>
          </w:tcPr>
          <w:p>
            <w:pPr>
              <w:spacing w:after="60"/>
            </w:pPr>
            <w:r>
              <w:rPr>
                <w:rFonts w:ascii="Calibri" w:cs="Calibri" w:eastAsia="Calibri" w:hAnsi="Calibri"/>
                <w:b/>
                <w:bCs/>
                <w:color w:val="8C7200"/>
                <w:sz w:val="20"/>
                <w:szCs w:val="20"/>
              </w:rPr>
              <w:t xml:space="preserve">Revisión al día 90</w:t>
            </w:r>
          </w:p>
          <w:p>
            <w:pPr>
              <w:spacing w:after="0" w:line="268"/>
            </w:pPr>
            <w:r>
              <w:rPr>
                <w:rFonts w:ascii="Calibri" w:cs="Calibri" w:eastAsia="Calibri" w:hAnsi="Calibri"/>
                <w:color w:val="222222"/>
                <w:sz w:val="21"/>
                <w:szCs w:val="21"/>
              </w:rPr>
              <w:t xml:space="preserve">La Junta comparará los resultados reales con este tarifario y decidirá: mantener, subir o reducir precios; habilitar nuevas salas; contratar apoyo de aseo o administración; invertir en equipamiento; o suspender modalidades con riesgo o baja rentabilidad.</w:t>
            </w:r>
          </w:p>
        </w:tc>
      </w:tr>
    </w:tbl>
    <w:p>
      <w:pPr>
        <w:pStyle w:val="Heading1"/>
        <w:keepNext/>
        <w:pBdr>
          <w:bottom w:val="single" w:color="FFCF00" w:sz="8" w:space="6"/>
        </w:pBdr>
        <w:spacing w:after="200" w:before="480"/>
      </w:pPr>
      <w:r>
        <w:rPr>
          <w:rFonts w:ascii="Calibri" w:cs="Calibri" w:eastAsia="Calibri" w:hAnsi="Calibri"/>
          <w:b/>
          <w:bCs/>
          <w:color w:val="8C7200"/>
          <w:sz w:val="30"/>
          <w:szCs w:val="30"/>
        </w:rPr>
        <w:t xml:space="preserve">8  </w:t>
      </w:r>
      <w:r>
        <w:rPr>
          <w:rFonts w:ascii="Calibri" w:cs="Calibri" w:eastAsia="Calibri" w:hAnsi="Calibri"/>
          <w:b/>
          <w:bCs/>
          <w:color w:val="002D55"/>
          <w:sz w:val="30"/>
          <w:szCs w:val="30"/>
        </w:rPr>
        <w:t xml:space="preserve">Indicadores que se medirán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1"/>
      </w:tblGrid>
      <w:tr>
        <w:trPr>
          <w:cantSplit/>
          <w:tblHeader/>
        </w:trPr>
        <w:tc>
          <w:tcPr>
            <w:tcW w:type="dxa" w:w="2313"/>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Indicador</w:t>
            </w:r>
          </w:p>
        </w:tc>
        <w:tc>
          <w:tcPr>
            <w:tcW w:type="dxa" w:w="4433"/>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Cómo se calcula o acredita</w:t>
            </w:r>
          </w:p>
        </w:tc>
        <w:tc>
          <w:tcPr>
            <w:tcW w:type="dxa" w:w="2891"/>
            <w:tcBorders>
              <w:top w:val="single" w:color="D9D3E3" w:sz="4"/>
              <w:left w:val="single" w:color="D9D3E3" w:sz="4"/>
              <w:bottom w:val="single" w:color="D9D3E3" w:sz="4"/>
              <w:right w:val="single" w:color="D9D3E3" w:sz="4"/>
            </w:tcBorders>
            <w:shd w:fill="00529B"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9"/>
                <w:szCs w:val="19"/>
              </w:rPr>
              <w:t xml:space="preserve">Criterio inicial</w:t>
            </w:r>
          </w:p>
        </w:tc>
      </w:tr>
      <w:tr>
        <w:trPr>
          <w:cantSplit/>
        </w:trPr>
        <w:tc>
          <w:tcPr>
            <w:tcW w:type="dxa" w:w="2313"/>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Ocupación</w:t>
            </w:r>
          </w:p>
        </w:tc>
        <w:tc>
          <w:tcPr>
            <w:tcW w:type="dxa" w:w="4433"/>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Horas arrendadas / horas ofrecidas</w:t>
            </w:r>
          </w:p>
        </w:tc>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Medir desde el mes 1.</w:t>
            </w:r>
          </w:p>
        </w:tc>
      </w:tr>
      <w:tr>
        <w:trPr>
          <w:cantSplit/>
        </w:trPr>
        <w:tc>
          <w:tcPr>
            <w:tcW w:type="dxa" w:w="2313"/>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Ingreso efectivo por hora</w:t>
            </w:r>
          </w:p>
        </w:tc>
        <w:tc>
          <w:tcPr>
            <w:tcW w:type="dxa" w:w="4433"/>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Ingreso neto de descuentos / horas usadas</w:t>
            </w:r>
          </w:p>
        </w:tc>
        <w:tc>
          <w:tcPr>
            <w:tcW w:type="dxa" w:w="2891"/>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Comparar por franja.</w:t>
            </w:r>
          </w:p>
        </w:tc>
      </w:tr>
      <w:tr>
        <w:trPr>
          <w:cantSplit/>
        </w:trPr>
        <w:tc>
          <w:tcPr>
            <w:tcW w:type="dxa" w:w="2313"/>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Margen de contribución</w:t>
            </w:r>
          </w:p>
        </w:tc>
        <w:tc>
          <w:tcPr>
            <w:tcW w:type="dxa" w:w="4433"/>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Ingresos menos limpieza, consumos y costos directos</w:t>
            </w:r>
          </w:p>
        </w:tc>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Positivo por reserva.</w:t>
            </w:r>
          </w:p>
        </w:tc>
      </w:tr>
      <w:tr>
        <w:trPr>
          <w:cantSplit/>
        </w:trPr>
        <w:tc>
          <w:tcPr>
            <w:tcW w:type="dxa" w:w="2313"/>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Conversión</w:t>
            </w:r>
          </w:p>
        </w:tc>
        <w:tc>
          <w:tcPr>
            <w:tcW w:type="dxa" w:w="4433"/>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Reservas confirmadas / consultas calificadas</w:t>
            </w:r>
          </w:p>
        </w:tc>
        <w:tc>
          <w:tcPr>
            <w:tcW w:type="dxa" w:w="2891"/>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Medir por segmento.</w:t>
            </w:r>
          </w:p>
        </w:tc>
      </w:tr>
      <w:tr>
        <w:trPr>
          <w:cantSplit/>
        </w:trPr>
        <w:tc>
          <w:tcPr>
            <w:tcW w:type="dxa" w:w="2313"/>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Cumplimiento de pago</w:t>
            </w:r>
          </w:p>
        </w:tc>
        <w:tc>
          <w:tcPr>
            <w:tcW w:type="dxa" w:w="4433"/>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Reservas pagadas en plazo / total</w:t>
            </w:r>
          </w:p>
        </w:tc>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Meta: 100%.</w:t>
            </w:r>
          </w:p>
        </w:tc>
      </w:tr>
      <w:tr>
        <w:trPr>
          <w:cantSplit/>
        </w:trPr>
        <w:tc>
          <w:tcPr>
            <w:tcW w:type="dxa" w:w="2313"/>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Incidencias</w:t>
            </w:r>
          </w:p>
        </w:tc>
        <w:tc>
          <w:tcPr>
            <w:tcW w:type="dxa" w:w="4433"/>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Eventos con daño, reclamo o incumplimiento / total</w:t>
            </w:r>
          </w:p>
        </w:tc>
        <w:tc>
          <w:tcPr>
            <w:tcW w:type="dxa" w:w="2891"/>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Menor a 10%; cero críticas.</w:t>
            </w:r>
          </w:p>
        </w:tc>
      </w:tr>
      <w:tr>
        <w:trPr>
          <w:cantSplit/>
        </w:trPr>
        <w:tc>
          <w:tcPr>
            <w:tcW w:type="dxa" w:w="2313"/>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Horas de voluntariado</w:t>
            </w:r>
          </w:p>
        </w:tc>
        <w:tc>
          <w:tcPr>
            <w:tcW w:type="dxa" w:w="4433"/>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Apertura, entrega, recepción, limpieza y gestión</w:t>
            </w:r>
          </w:p>
        </w:tc>
        <w:tc>
          <w:tcPr>
            <w:tcW w:type="dxa" w:w="2891"/>
            <w:tcBorders>
              <w:top w:val="single" w:color="D9D3E3" w:sz="4"/>
              <w:left w:val="single" w:color="D9D3E3" w:sz="4"/>
              <w:bottom w:val="single" w:color="D9D3E3" w:sz="4"/>
              <w:right w:val="single" w:color="D9D3E3"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Registrar costo equivalente.</w:t>
            </w:r>
          </w:p>
        </w:tc>
      </w:tr>
      <w:tr>
        <w:trPr>
          <w:cantSplit/>
        </w:trPr>
        <w:tc>
          <w:tcPr>
            <w:tcW w:type="dxa" w:w="2313"/>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Satisfacción</w:t>
            </w:r>
          </w:p>
        </w:tc>
        <w:tc>
          <w:tcPr>
            <w:tcW w:type="dxa" w:w="4433"/>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Encuesta breve posterior al evento</w:t>
            </w:r>
          </w:p>
        </w:tc>
        <w:tc>
          <w:tcPr>
            <w:tcW w:type="dxa" w:w="2891"/>
            <w:tcBorders>
              <w:top w:val="single" w:color="D9D3E3" w:sz="4"/>
              <w:left w:val="single" w:color="D9D3E3" w:sz="4"/>
              <w:bottom w:val="single" w:color="D9D3E3" w:sz="4"/>
              <w:right w:val="single" w:color="D9D3E3" w:sz="4"/>
            </w:tcBorders>
            <w:shd w:fill="E8F0F8" w:color="auto" w:val="clear"/>
            <w:tcMar>
              <w:top w:type="dxa" w:w="80"/>
              <w:left w:type="dxa" w:w="120"/>
              <w:bottom w:type="dxa" w:w="80"/>
              <w:right w:type="dxa" w:w="120"/>
            </w:tcMar>
            <w:vAlign w:val="center"/>
          </w:tcPr>
          <w:p>
            <w:pPr>
              <w:spacing w:after="0" w:line="260"/>
            </w:pPr>
            <w:r>
              <w:rPr>
                <w:rFonts w:ascii="Calibri" w:cs="Calibri" w:eastAsia="Calibri" w:hAnsi="Calibri"/>
                <w:color w:val="222222"/>
                <w:sz w:val="20"/>
                <w:szCs w:val="20"/>
              </w:rPr>
              <w:t xml:space="preserve">Meta inicial: 4/5.</w:t>
            </w:r>
          </w:p>
        </w:tc>
      </w:tr>
    </w:tbl>
    <w:p>
      <w:pPr>
        <w:pStyle w:val="Heading1"/>
        <w:keepNext/>
        <w:pBdr>
          <w:bottom w:val="single" w:color="FFCF00" w:sz="8" w:space="6"/>
        </w:pBdr>
        <w:spacing w:after="200" w:before="480"/>
      </w:pPr>
      <w:r>
        <w:rPr>
          <w:rFonts w:ascii="Calibri" w:cs="Calibri" w:eastAsia="Calibri" w:hAnsi="Calibri"/>
          <w:b/>
          <w:bCs/>
          <w:color w:val="8C7200"/>
          <w:sz w:val="30"/>
          <w:szCs w:val="30"/>
        </w:rPr>
        <w:t xml:space="preserve">9  </w:t>
      </w:r>
      <w:r>
        <w:rPr>
          <w:rFonts w:ascii="Calibri" w:cs="Calibri" w:eastAsia="Calibri" w:hAnsi="Calibri"/>
          <w:b/>
          <w:bCs/>
          <w:color w:val="002D55"/>
          <w:sz w:val="30"/>
          <w:szCs w:val="30"/>
        </w:rPr>
        <w:t xml:space="preserve">Condiciones previas a la primera reserva</w:t>
      </w:r>
    </w:p>
    <w:p>
      <w:pPr>
        <w:pStyle w:val="ListParagraph"/>
        <w:numPr>
          <w:ilvl w:val="0"/>
          <w:numId w:val="1"/>
        </w:numPr>
        <w:spacing w:after="100" w:line="270"/>
      </w:pPr>
      <w:r>
        <w:rPr>
          <w:rFonts w:ascii="Calibri" w:cs="Calibri" w:eastAsia="Calibri" w:hAnsi="Calibri"/>
          <w:color w:val="222222"/>
          <w:sz w:val="21"/>
          <w:szCs w:val="21"/>
        </w:rPr>
        <w:t xml:space="preserve">Baños operativos y sin filtraciones; agua, descarga, iluminación y aseo comprobados.</w:t>
      </w:r>
    </w:p>
    <w:p>
      <w:pPr>
        <w:pStyle w:val="ListParagraph"/>
        <w:numPr>
          <w:ilvl w:val="0"/>
          <w:numId w:val="1"/>
        </w:numPr>
        <w:spacing w:after="100" w:line="270"/>
      </w:pPr>
      <w:r>
        <w:rPr>
          <w:rFonts w:ascii="Calibri" w:cs="Calibri" w:eastAsia="Calibri" w:hAnsi="Calibri"/>
          <w:color w:val="222222"/>
          <w:sz w:val="21"/>
          <w:szCs w:val="21"/>
        </w:rPr>
        <w:t xml:space="preserve">Tablero, enchufes, luminarias y extensiones sin riesgos visibles; revisión técnica cuando corresponda.</w:t>
      </w:r>
    </w:p>
    <w:p>
      <w:pPr>
        <w:pStyle w:val="ListParagraph"/>
        <w:numPr>
          <w:ilvl w:val="0"/>
          <w:numId w:val="1"/>
        </w:numPr>
        <w:spacing w:after="100" w:line="270"/>
      </w:pPr>
      <w:r>
        <w:rPr>
          <w:rFonts w:ascii="Calibri" w:cs="Calibri" w:eastAsia="Calibri" w:hAnsi="Calibri"/>
          <w:color w:val="222222"/>
          <w:sz w:val="21"/>
          <w:szCs w:val="21"/>
        </w:rPr>
        <w:t xml:space="preserve">Puertas y rutas de evacuación despejadas; extintores y señalización revisados.</w:t>
      </w:r>
    </w:p>
    <w:p>
      <w:pPr>
        <w:pStyle w:val="ListParagraph"/>
        <w:numPr>
          <w:ilvl w:val="0"/>
          <w:numId w:val="1"/>
        </w:numPr>
        <w:spacing w:after="100" w:line="270"/>
      </w:pPr>
      <w:r>
        <w:rPr>
          <w:rFonts w:ascii="Calibri" w:cs="Calibri" w:eastAsia="Calibri" w:hAnsi="Calibri"/>
          <w:color w:val="222222"/>
          <w:sz w:val="21"/>
          <w:szCs w:val="21"/>
        </w:rPr>
        <w:t xml:space="preserve">Cielo, vidrios, muros y elementos sueltos sin condiciones que comprometan el uso seguro.</w:t>
      </w:r>
    </w:p>
    <w:p>
      <w:pPr>
        <w:pStyle w:val="ListParagraph"/>
        <w:numPr>
          <w:ilvl w:val="0"/>
          <w:numId w:val="1"/>
        </w:numPr>
        <w:spacing w:after="100" w:line="270"/>
      </w:pPr>
      <w:r>
        <w:rPr>
          <w:rFonts w:ascii="Calibri" w:cs="Calibri" w:eastAsia="Calibri" w:hAnsi="Calibri"/>
          <w:color w:val="222222"/>
          <w:sz w:val="21"/>
          <w:szCs w:val="21"/>
        </w:rPr>
        <w:t xml:space="preserve">Inventario inicial de mesas, sillas, cocina, loza, vasos, audio, televisor y llaves.</w:t>
      </w:r>
    </w:p>
    <w:p>
      <w:pPr>
        <w:pStyle w:val="ListParagraph"/>
        <w:numPr>
          <w:ilvl w:val="0"/>
          <w:numId w:val="1"/>
        </w:numPr>
        <w:spacing w:after="100" w:line="270"/>
      </w:pPr>
      <w:r>
        <w:rPr>
          <w:rFonts w:ascii="Calibri" w:cs="Calibri" w:eastAsia="Calibri" w:hAnsi="Calibri"/>
          <w:color w:val="222222"/>
          <w:sz w:val="21"/>
          <w:szCs w:val="21"/>
        </w:rPr>
        <w:t xml:space="preserve">Capacidad y configuración del mobiliario formalmente definidas para cada tipo de actividad.</w:t>
      </w:r>
    </w:p>
    <w:p>
      <w:pPr>
        <w:pStyle w:val="ListParagraph"/>
        <w:numPr>
          <w:ilvl w:val="0"/>
          <w:numId w:val="1"/>
        </w:numPr>
        <w:spacing w:after="100" w:line="270"/>
      </w:pPr>
      <w:r>
        <w:rPr>
          <w:rFonts w:ascii="Calibri" w:cs="Calibri" w:eastAsia="Calibri" w:hAnsi="Calibri"/>
          <w:color w:val="222222"/>
          <w:sz w:val="21"/>
          <w:szCs w:val="21"/>
        </w:rPr>
        <w:t xml:space="preserve">Validación jurídica, tributaria y municipal del instrumento contractual, comprobante de pago, horarios y usos permitidos.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D9D3E3" w:sz="4"/>
              <w:left w:val="single" w:color="9C3B3B" w:sz="24"/>
              <w:bottom w:val="single" w:color="D9D3E3" w:sz="4"/>
              <w:right w:val="single" w:color="D9D3E3" w:sz="4"/>
            </w:tcBorders>
            <w:shd w:fill="F8EBEB" w:color="auto" w:val="clear"/>
            <w:tcMar>
              <w:top w:type="dxa" w:w="160"/>
              <w:left w:type="dxa" w:w="220"/>
              <w:bottom w:type="dxa" w:w="160"/>
              <w:right w:type="dxa" w:w="220"/>
            </w:tcMar>
          </w:tcPr>
          <w:p>
            <w:pPr>
              <w:spacing w:after="60"/>
            </w:pPr>
            <w:r>
              <w:rPr>
                <w:rFonts w:ascii="Calibri" w:cs="Calibri" w:eastAsia="Calibri" w:hAnsi="Calibri"/>
                <w:b/>
                <w:bCs/>
                <w:color w:val="9C3B3B"/>
                <w:sz w:val="20"/>
                <w:szCs w:val="20"/>
              </w:rPr>
              <w:t xml:space="preserve">Advertencia</w:t>
            </w:r>
          </w:p>
          <w:p>
            <w:pPr>
              <w:spacing w:after="0" w:line="268"/>
            </w:pPr>
            <w:r>
              <w:rPr>
                <w:rFonts w:ascii="Calibri" w:cs="Calibri" w:eastAsia="Calibri" w:hAnsi="Calibri"/>
                <w:color w:val="222222"/>
                <w:sz w:val="21"/>
                <w:szCs w:val="21"/>
              </w:rPr>
              <w:t xml:space="preserve">Los valores y reglas de este informe son una propuesta de gestión. Antes de su publicación deben ser aprobados por la Junta y revisados en sus aspectos legales, tributarios, municipales, de seguridad y de aforo.</w:t>
            </w:r>
          </w:p>
        </w:tc>
      </w:tr>
    </w:tbl>
    <w:p>
      <w:pPr>
        <w:pStyle w:val="Heading1"/>
        <w:keepNext/>
        <w:pBdr>
          <w:bottom w:val="single" w:color="FFCF00" w:sz="8" w:space="6"/>
        </w:pBdr>
        <w:spacing w:after="200" w:before="480"/>
      </w:pPr>
      <w:r>
        <w:rPr>
          <w:rFonts w:ascii="Calibri" w:cs="Calibri" w:eastAsia="Calibri" w:hAnsi="Calibri"/>
          <w:b/>
          <w:bCs/>
          <w:color w:val="8C7200"/>
          <w:sz w:val="30"/>
          <w:szCs w:val="30"/>
        </w:rPr>
        <w:t xml:space="preserve">10  </w:t>
      </w:r>
      <w:r>
        <w:rPr>
          <w:rFonts w:ascii="Calibri" w:cs="Calibri" w:eastAsia="Calibri" w:hAnsi="Calibri"/>
          <w:b/>
          <w:bCs/>
          <w:color w:val="002D55"/>
          <w:sz w:val="30"/>
          <w:szCs w:val="30"/>
        </w:rPr>
        <w:t xml:space="preserve">Acuerdo propuesto para la Junta Directiva</w:t>
      </w:r>
    </w:p>
    <w:p>
      <w:pPr>
        <w:spacing w:after="160" w:line="276"/>
      </w:pPr>
      <w:r>
        <w:rPr>
          <w:rFonts w:ascii="Calibri" w:cs="Calibri" w:eastAsia="Calibri" w:hAnsi="Calibri"/>
          <w:color w:val="222222"/>
          <w:sz w:val="21"/>
          <w:szCs w:val="21"/>
        </w:rPr>
        <w:t xml:space="preserve">La Junta Directiva del Club de Leones Quinta Normal “Leones en Acción” aprueba, con carácter piloto por 90 días contados desde la primera reserva confirmada, el modelo de arriendo, tarifario, servicios, garantías, políticas de cancelación, horarios y controles definidos en este informe complementario. La apertura de cada espacio queda condicionada al checklist habilitante y a las validaciones aplicables. La Presidencia y Tesorería informarán mensualmente los resultados y presentarán al día 90 una recomendación de continuidad, ajuste o término del piloto.</w:t>
      </w:r>
    </w:p>
    <w:p>
      <w:pPr>
        <w:spacing w:after="160" w:line="276"/>
      </w:pPr>
      <w:r>
        <w:rPr>
          <w:rFonts w:ascii="Calibri" w:cs="Calibri" w:eastAsia="Calibri" w:hAnsi="Calibri"/>
          <w:color w:val="222222"/>
          <w:sz w:val="21"/>
          <w:szCs w:val="21"/>
        </w:rPr>
        <w:t xml:space="preserve">Toda modificación de precio, descuento, horario, uso o garantía deberá quedar registrada y ser aprobada conforme a las atribuciones internas del Club.</w:t>
      </w:r>
    </w:p>
    <w:p>
      <w:pPr>
        <w:pStyle w:val="Heading1"/>
        <w:keepNext/>
        <w:pBdr>
          <w:bottom w:val="single" w:color="FFCF00" w:sz="8" w:space="6"/>
        </w:pBdr>
        <w:spacing w:after="200" w:before="480"/>
      </w:pPr>
      <w:r>
        <w:rPr>
          <w:rFonts w:ascii="Calibri" w:cs="Calibri" w:eastAsia="Calibri" w:hAnsi="Calibri"/>
          <w:b/>
          <w:bCs/>
          <w:color w:val="8C7200"/>
          <w:sz w:val="30"/>
          <w:szCs w:val="30"/>
        </w:rPr>
        <w:t xml:space="preserve">11  </w:t>
      </w:r>
      <w:r>
        <w:rPr>
          <w:rFonts w:ascii="Calibri" w:cs="Calibri" w:eastAsia="Calibri" w:hAnsi="Calibri"/>
          <w:b/>
          <w:bCs/>
          <w:color w:val="002D55"/>
          <w:sz w:val="30"/>
          <w:szCs w:val="30"/>
        </w:rPr>
        <w:t xml:space="preserve">Referencias utilizadas</w:t>
      </w:r>
    </w:p>
    <w:p>
      <w:pPr>
        <w:pStyle w:val="Heading2"/>
        <w:keepNext/>
        <w:spacing w:after="120" w:before="300"/>
      </w:pPr>
      <w:r>
        <w:rPr>
          <w:rFonts w:ascii="Calibri" w:cs="Calibri" w:eastAsia="Calibri" w:hAnsi="Calibri"/>
          <w:b/>
          <w:bCs/>
          <w:color w:val="00529B"/>
          <w:sz w:val="24"/>
          <w:szCs w:val="24"/>
        </w:rPr>
        <w:t xml:space="preserve">Antecedentes internos</w:t>
      </w:r>
    </w:p>
    <w:p>
      <w:pPr>
        <w:pStyle w:val="ListParagraph"/>
        <w:numPr>
          <w:ilvl w:val="0"/>
          <w:numId w:val="1"/>
        </w:numPr>
        <w:spacing w:after="100" w:line="270"/>
      </w:pPr>
      <w:r>
        <w:rPr>
          <w:rFonts w:ascii="Calibri" w:cs="Calibri" w:eastAsia="Calibri" w:hAnsi="Calibri"/>
          <w:color w:val="222222"/>
          <w:sz w:val="21"/>
          <w:szCs w:val="21"/>
        </w:rPr>
        <w:t xml:space="preserve">Informe técnico preliminar del levantamiento de la propiedad Z-144, visita del 1 de septiembre de 2026.</w:t>
      </w:r>
    </w:p>
    <w:p>
      <w:pPr>
        <w:pStyle w:val="ListParagraph"/>
        <w:numPr>
          <w:ilvl w:val="0"/>
          <w:numId w:val="1"/>
        </w:numPr>
        <w:spacing w:after="100" w:line="270"/>
      </w:pPr>
      <w:r>
        <w:rPr>
          <w:rFonts w:ascii="Calibri" w:cs="Calibri" w:eastAsia="Calibri" w:hAnsi="Calibri"/>
          <w:color w:val="222222"/>
          <w:sz w:val="21"/>
          <w:szCs w:val="21"/>
        </w:rPr>
        <w:t xml:space="preserve">Antecedentes operativos entregados por Fanny Herrera, Eugenio Bastiás, Mirta Herrera y los responsables del levantamiento, según conversación de diseño del piloto.</w:t>
      </w:r>
    </w:p>
    <w:p>
      <w:pPr>
        <w:pStyle w:val="Heading2"/>
        <w:keepNext/>
        <w:spacing w:after="120" w:before="300"/>
      </w:pPr>
      <w:r>
        <w:rPr>
          <w:rFonts w:ascii="Calibri" w:cs="Calibri" w:eastAsia="Calibri" w:hAnsi="Calibri"/>
          <w:b/>
          <w:bCs/>
          <w:color w:val="00529B"/>
          <w:sz w:val="24"/>
          <w:szCs w:val="24"/>
        </w:rPr>
        <w:t xml:space="preserve">Referencias de mercado consultadas en septiembre de 2026</w:t>
      </w:r>
    </w:p>
    <w:p>
      <w:pPr>
        <w:pStyle w:val="ListParagraph"/>
        <w:numPr>
          <w:ilvl w:val="0"/>
          <w:numId w:val="1"/>
        </w:numPr>
        <w:spacing w:after="100" w:line="270"/>
      </w:pPr>
      <w:r>
        <w:rPr>
          <w:rFonts w:ascii="Calibri" w:cs="Calibri" w:eastAsia="Calibri" w:hAnsi="Calibri"/>
          <w:color w:val="222222"/>
          <w:sz w:val="21"/>
          <w:szCs w:val="21"/>
        </w:rPr>
        <w:t xml:space="preserve">Palmas de Malloco — condiciones de reserva, saldo y garantía: www.palmasdemalloco.cl/precios-arriendo-parcela-eventos</w:t>
      </w:r>
    </w:p>
    <w:p>
      <w:pPr>
        <w:pStyle w:val="ListParagraph"/>
        <w:numPr>
          <w:ilvl w:val="0"/>
          <w:numId w:val="1"/>
        </w:numPr>
        <w:spacing w:after="100" w:line="270"/>
      </w:pPr>
      <w:r>
        <w:rPr>
          <w:rFonts w:ascii="Calibri" w:cs="Calibri" w:eastAsia="Calibri" w:hAnsi="Calibri"/>
          <w:color w:val="222222"/>
          <w:sz w:val="21"/>
          <w:szCs w:val="21"/>
        </w:rPr>
        <w:t xml:space="preserve">La Compañía Cowork — arriendo por hora, anticipo y cancelación: la-compania.cl</w:t>
      </w:r>
    </w:p>
    <w:p>
      <w:pPr>
        <w:pStyle w:val="ListParagraph"/>
        <w:numPr>
          <w:ilvl w:val="0"/>
          <w:numId w:val="1"/>
        </w:numPr>
        <w:spacing w:after="100" w:line="270"/>
      </w:pPr>
      <w:r>
        <w:rPr>
          <w:rFonts w:ascii="Calibri" w:cs="Calibri" w:eastAsia="Calibri" w:hAnsi="Calibri"/>
          <w:color w:val="222222"/>
          <w:sz w:val="21"/>
          <w:szCs w:val="21"/>
        </w:rPr>
        <w:t xml:space="preserve">Casona Compañía — franjas horarias, pago y tiempo de montaje: casonacompania.cl</w:t>
      </w:r>
    </w:p>
    <w:p>
      <w:pPr>
        <w:pStyle w:val="ListParagraph"/>
        <w:numPr>
          <w:ilvl w:val="0"/>
          <w:numId w:val="1"/>
        </w:numPr>
        <w:spacing w:after="100" w:line="270"/>
      </w:pPr>
      <w:r>
        <w:rPr>
          <w:rFonts w:ascii="Calibri" w:cs="Calibri" w:eastAsia="Calibri" w:hAnsi="Calibri"/>
          <w:color w:val="222222"/>
          <w:sz w:val="21"/>
          <w:szCs w:val="21"/>
        </w:rPr>
        <w:t xml:space="preserve">Planetario Chile — reserva de espacios: planetariochile.cl/eventos-y-reuniones</w:t>
      </w:r>
    </w:p>
    <w:p>
      <w:pPr>
        <w:pStyle w:val="ListParagraph"/>
        <w:numPr>
          <w:ilvl w:val="0"/>
          <w:numId w:val="1"/>
        </w:numPr>
        <w:spacing w:after="100" w:line="270"/>
      </w:pPr>
      <w:r>
        <w:rPr>
          <w:rFonts w:ascii="Calibri" w:cs="Calibri" w:eastAsia="Calibri" w:hAnsi="Calibri"/>
          <w:color w:val="222222"/>
          <w:sz w:val="21"/>
          <w:szCs w:val="21"/>
        </w:rPr>
        <w:t xml:space="preserve">SERNAC — claridad contractual, información previa y equilibrio de obligaciones: www.sernac.cl</w:t>
      </w:r>
    </w:p>
    <w:p>
      <w:r>
        <w:br w:type="page"/>
      </w:r>
    </w:p>
    <w:p>
      <w:pPr>
        <w:pStyle w:val="Heading1"/>
        <w:keepNext/>
        <w:pBdr>
          <w:bottom w:val="single" w:color="FFCF00" w:sz="8" w:space="6"/>
        </w:pBdr>
        <w:spacing w:after="200" w:before="480"/>
      </w:pPr>
      <w:r>
        <w:rPr>
          <w:rFonts w:ascii="Calibri" w:cs="Calibri" w:eastAsia="Calibri" w:hAnsi="Calibri"/>
          <w:b/>
          <w:bCs/>
          <w:color w:val="8C7200"/>
          <w:sz w:val="30"/>
          <w:szCs w:val="30"/>
        </w:rPr>
        <w:t xml:space="preserve">A  </w:t>
      </w:r>
      <w:r>
        <w:rPr>
          <w:rFonts w:ascii="Calibri" w:cs="Calibri" w:eastAsia="Calibri" w:hAnsi="Calibri"/>
          <w:b/>
          <w:bCs/>
          <w:color w:val="002D55"/>
          <w:sz w:val="30"/>
          <w:szCs w:val="30"/>
        </w:rPr>
        <w:t xml:space="preserve">Anexo — Mapas orientativos del levantamiento</w:t>
      </w:r>
    </w:p>
    <w:p>
      <w:pPr>
        <w:spacing w:after="160" w:line="276"/>
      </w:pPr>
      <w:r>
        <w:rPr>
          <w:rFonts w:ascii="Calibri" w:cs="Calibri" w:eastAsia="Calibri" w:hAnsi="Calibri"/>
          <w:color w:val="222222"/>
          <w:sz w:val="21"/>
          <w:szCs w:val="21"/>
        </w:rPr>
        <w:t xml:space="preserve">Las siguientes láminas son reconstrucciones esquemáticas de los croquis del levantamiento. Se incluyen para apoyar la comprensión comercial de los espacios: no son planos arquitectónicos, no fijan deslindes ni reemplazan mediciones, regularizaciones o certificaciones. Verificar en terreno antes de presupuestar obras, publicar superficie o definir capacidad.</w:t>
      </w:r>
    </w:p>
    <w:p>
      <w:pPr>
        <w:spacing w:after="120"/>
      </w:pPr>
    </w:p>
    <w:p>
      <w:pPr>
        <w:spacing w:after="60" w:before="160"/>
      </w:pPr>
      <w:r>
        <w:drawing>
          <wp:inline distT="0" distB="0" distL="0" distR="0">
            <wp:extent cx="5524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38550"/>
                    </a:xfrm>
                    <a:prstGeom prst="rect">
                      <a:avLst/>
                    </a:prstGeom>
                  </pic:spPr>
                </pic:pic>
              </a:graphicData>
            </a:graphic>
          </wp:inline>
        </w:drawing>
      </w:r>
    </w:p>
    <w:p>
      <w:pPr>
        <w:spacing w:after="260"/>
      </w:pPr>
      <w:r>
        <w:rPr>
          <w:rFonts w:ascii="Calibri" w:cs="Calibri" w:eastAsia="Calibri" w:hAnsi="Calibri"/>
          <w:b/>
          <w:bCs/>
          <w:color w:val="002D55"/>
          <w:sz w:val="19"/>
          <w:szCs w:val="19"/>
        </w:rPr>
        <w:t xml:space="preserve">Mapa 1 · Salón de eventos y núcleo de baños</w:t>
      </w:r>
      <w:r>
        <w:rPr>
          <w:rFonts w:ascii="Calibri" w:cs="Calibri" w:eastAsia="Calibri" w:hAnsi="Calibri"/>
          <w:i/>
          <w:iCs/>
          <w:color w:val="5B5B5B"/>
          <w:sz w:val="19"/>
          <w:szCs w:val="19"/>
        </w:rPr>
        <w:t xml:space="preserve">  —  Superficie aproximada: 87 m².</w:t>
      </w:r>
    </w:p>
    <w:p>
      <w:pPr>
        <w:spacing w:after="60" w:before="160"/>
      </w:pPr>
      <w:r>
        <w:drawing>
          <wp:inline distT="0" distB="0" distL="0" distR="0">
            <wp:extent cx="5524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057400"/>
                    </a:xfrm>
                    <a:prstGeom prst="rect">
                      <a:avLst/>
                    </a:prstGeom>
                  </pic:spPr>
                </pic:pic>
              </a:graphicData>
            </a:graphic>
          </wp:inline>
        </w:drawing>
      </w:r>
    </w:p>
    <w:p>
      <w:pPr>
        <w:spacing w:after="260"/>
      </w:pPr>
      <w:r>
        <w:rPr>
          <w:rFonts w:ascii="Calibri" w:cs="Calibri" w:eastAsia="Calibri" w:hAnsi="Calibri"/>
          <w:b/>
          <w:bCs/>
          <w:color w:val="002D55"/>
          <w:sz w:val="19"/>
          <w:szCs w:val="19"/>
        </w:rPr>
        <w:t xml:space="preserve">Mapa 2 · Salas 1 y 2</w:t>
      </w:r>
      <w:r>
        <w:rPr>
          <w:rFonts w:ascii="Calibri" w:cs="Calibri" w:eastAsia="Calibri" w:hAnsi="Calibri"/>
          <w:i/>
          <w:iCs/>
          <w:color w:val="5B5B5B"/>
          <w:sz w:val="19"/>
          <w:szCs w:val="19"/>
        </w:rPr>
        <w:t xml:space="preserve">  —  La superficie completa de Sala 2 permanece pendiente.</w:t>
      </w:r>
    </w:p>
    <w:p>
      <w:pPr>
        <w:spacing w:after="60" w:before="160"/>
      </w:pPr>
      <w:r>
        <w:drawing>
          <wp:inline distT="0" distB="0" distL="0" distR="0">
            <wp:extent cx="5524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990725"/>
                    </a:xfrm>
                    <a:prstGeom prst="rect">
                      <a:avLst/>
                    </a:prstGeom>
                  </pic:spPr>
                </pic:pic>
              </a:graphicData>
            </a:graphic>
          </wp:inline>
        </w:drawing>
      </w:r>
    </w:p>
    <w:p>
      <w:pPr>
        <w:spacing w:after="260"/>
      </w:pPr>
      <w:r>
        <w:rPr>
          <w:rFonts w:ascii="Calibri" w:cs="Calibri" w:eastAsia="Calibri" w:hAnsi="Calibri"/>
          <w:b/>
          <w:bCs/>
          <w:color w:val="002D55"/>
          <w:sz w:val="19"/>
          <w:szCs w:val="19"/>
        </w:rPr>
        <w:t xml:space="preserve">Mapa 3 · Sala 3 y Sala 4 / oficina</w:t>
      </w:r>
      <w:r>
        <w:rPr>
          <w:rFonts w:ascii="Calibri" w:cs="Calibri" w:eastAsia="Calibri" w:hAnsi="Calibri"/>
          <w:i/>
          <w:iCs/>
          <w:color w:val="5B5B5B"/>
          <w:sz w:val="19"/>
          <w:szCs w:val="19"/>
        </w:rPr>
        <w:t xml:space="preserve">  —  Cotas contradictorias o relaciones geométricas por confirmar.</w:t>
      </w:r>
    </w:p>
    <w:p>
      <w:pPr>
        <w:spacing w:after="60" w:before="160"/>
      </w:pPr>
      <w:r>
        <w:drawing>
          <wp:inline distT="0" distB="0" distL="0" distR="0">
            <wp:extent cx="5524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752725"/>
                    </a:xfrm>
                    <a:prstGeom prst="rect">
                      <a:avLst/>
                    </a:prstGeom>
                  </pic:spPr>
                </pic:pic>
              </a:graphicData>
            </a:graphic>
          </wp:inline>
        </w:drawing>
      </w:r>
    </w:p>
    <w:p>
      <w:pPr>
        <w:spacing w:after="260"/>
      </w:pPr>
      <w:r>
        <w:rPr>
          <w:rFonts w:ascii="Calibri" w:cs="Calibri" w:eastAsia="Calibri" w:hAnsi="Calibri"/>
          <w:b/>
          <w:bCs/>
          <w:color w:val="002D55"/>
          <w:sz w:val="19"/>
          <w:szCs w:val="19"/>
        </w:rPr>
        <w:t xml:space="preserve">Mapa 4 · Sala 5 y recintos auxiliares</w:t>
      </w:r>
      <w:r>
        <w:rPr>
          <w:rFonts w:ascii="Calibri" w:cs="Calibri" w:eastAsia="Calibri" w:hAnsi="Calibri"/>
          <w:i/>
          <w:iCs/>
          <w:color w:val="5B5B5B"/>
          <w:sz w:val="19"/>
          <w:szCs w:val="19"/>
        </w:rPr>
        <w:t xml:space="preserve">  —  Conexiones físicas no documentadas.</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3E3" w:sz="4" w:space="4"/>
      </w:pBdr>
      <w:jc w:val="center"/>
    </w:pPr>
    <w:r>
      <w:rPr>
        <w:rFonts w:ascii="Calibri" w:cs="Calibri" w:eastAsia="Calibri" w:hAnsi="Calibri"/>
        <w:color w:val="5B5B5B"/>
        <w:sz w:val="16"/>
        <w:szCs w:val="16"/>
      </w:rPr>
      <w:t xml:space="preserve">Versión para deliberación — uso interno de la Junta Directiva  ·  Página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de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3E3" w:sz="4" w:space="4"/>
      </w:pBdr>
      <w:tabs>
        <w:tab w:val="right" w:pos="9026"/>
      </w:tabs>
    </w:pPr>
    <w:r>
      <w:rPr>
        <w:rFonts w:ascii="Calibri" w:cs="Calibri" w:eastAsia="Calibri" w:hAnsi="Calibri"/>
        <w:b/>
        <w:bCs/>
        <w:color w:val="00529B"/>
        <w:sz w:val="16"/>
        <w:szCs w:val="16"/>
      </w:rPr>
      <w:t xml:space="preserve">Club de Leones Quinta Normal</w:t>
    </w:r>
    <w:r>
      <w:rPr>
        <w:rFonts w:ascii="Calibri" w:cs="Calibri" w:eastAsia="Calibri" w:hAnsi="Calibri"/>
        <w:color w:val="5B5B5B"/>
        <w:sz w:val="16"/>
        <w:szCs w:val="16"/>
      </w:rPr>
      <w:t xml:space="preserve">	Modelo de arriendo Z-144 — Plan piloto de 90 días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ed3adaf280fd39eae13393d35d3481d70b5f478.jpg"/><Relationship Id="rId12" Type="http://schemas.openxmlformats.org/officeDocument/2006/relationships/image" Target="media/16af659d2a2c8fde82086dd06d20b8c1e950fd0b.png"/><Relationship Id="rId13" Type="http://schemas.openxmlformats.org/officeDocument/2006/relationships/image" Target="media/be1efa2f5e203664da4e6530f91f5fdfb173ba09.png"/><Relationship Id="rId14" Type="http://schemas.openxmlformats.org/officeDocument/2006/relationships/image" Target="media/4ee0d8d9902044f0d51b8a8cf86288a53acce235.png"/><Relationship Id="rId15" Type="http://schemas.openxmlformats.org/officeDocument/2006/relationships/image" Target="media/0a73d7f27be48fc37f3d7f46de3a96f02998b33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2026-09-05T00:22:58.461Z</dcterms:created>
  <dcterms:modified xsi:type="dcterms:W3CDTF">2026-09-05T00:22:58.461Z</dcterms:modified>
</cp:coreProperties>
</file>

<file path=docProps/custom.xml><?xml version="1.0" encoding="utf-8"?>
<Properties xmlns="http://schemas.openxmlformats.org/officeDocument/2006/custom-properties" xmlns:vt="http://schemas.openxmlformats.org/officeDocument/2006/docPropsVTypes"/>
</file>