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投标文件</w:t>
      </w:r>
    </w:p>
    <w:p>
      <w:pPr>
        <w:pStyle w:val="Heading1"/>
      </w:pPr>
      <w:r>
        <w:t>一、报价函</w:t>
      </w:r>
    </w:p>
    <w:p>
      <w:r>
        <w:t>XXX（采购代理机构名称）：</w:t>
      </w:r>
    </w:p>
    <w:p>
      <w:r>
        <w:t>我方全面研究了“XXXXXX”项目磋商文件（采购项目编号：XXXX），决定参加贵单位组织的本项目磋商采购。</w:t>
      </w:r>
    </w:p>
    <w:p>
      <w:r>
        <w:t>我方自愿按照磋商文件规定的各项要求向采购人提供所需服务，总报价为人民币 XXX元（大写：XXXX）。</w:t>
      </w:r>
    </w:p>
    <w:p>
      <w:r>
        <w:t>一旦我方成交，我方将严格履行政府采购合同规定的责任和义务。</w:t>
      </w:r>
    </w:p>
    <w:p>
      <w:r>
        <w:t>我方为本项目提交的响应文件正本 1 份，副本 1 份，电子文档 U 盘 1 份，用于磋商报价。</w:t>
      </w:r>
    </w:p>
    <w:p>
      <w:r>
        <w:t>我方愿意提供贵单位可能另外要求的，与磋商报价有关的文件资料，并保证我方已提供和将要提供的文件资料是真实、准确的。</w:t>
      </w:r>
    </w:p>
    <w:p>
      <w:r>
        <w:t>本次磋商，我方递交的响应文件有效期为递交磋商响应文件截止之日起 90 天。</w:t>
      </w:r>
    </w:p>
    <w:p>
      <w:r>
        <w:t>我方完全理解采购人不一定将合同授予最低报价的供应商的行为。</w:t>
      </w:r>
    </w:p>
    <w:p>
      <w:r>
        <w:t>供应商名称：XXX（盖单位公章）</w:t>
      </w:r>
    </w:p>
    <w:p>
      <w:r>
        <w:t>法定代表人/单位负责人或授权代表（签字或加盖个人印章）：XXX</w:t>
      </w:r>
    </w:p>
    <w:p>
      <w:r>
        <w:t>通讯地址：XXX</w:t>
      </w:r>
    </w:p>
    <w:p>
      <w:r>
        <w:t>邮政编码：XXX</w:t>
      </w:r>
    </w:p>
    <w:p>
      <w:r>
        <w:t>联系电话：XXX</w:t>
      </w:r>
    </w:p>
    <w:p>
      <w:r>
        <w:t>日</w:t>
        <w:tab/>
        <w:t>期：XXX 年 XXX 月 XXX 日</w:t>
      </w:r>
    </w:p>
    <w:p>
      <w:pPr>
        <w:pStyle w:val="Heading1"/>
      </w:pPr>
      <w:r>
        <w:t>二、技术、服务要求应答表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序号</w:t>
            </w:r>
          </w:p>
        </w:tc>
        <w:tc>
          <w:tcPr>
            <w:tcW w:type="dxa" w:w="2158"/>
          </w:tcPr>
          <w:p>
            <w:pPr>
              <w:jc w:val="center"/>
            </w:pPr>
            <w:r>
              <w:rPr>
                <w:rFonts w:ascii="黑体" w:hAnsi="黑体"/>
                <w:b/>
              </w:rPr>
              <w:t>采购文件要求</w:t>
            </w:r>
          </w:p>
        </w:tc>
        <w:tc>
          <w:tcPr>
            <w:tcW w:type="dxa" w:w="2158"/>
          </w:tcPr>
          <w:p>
            <w:pPr>
              <w:jc w:val="center"/>
            </w:pPr>
            <w:r>
              <w:rPr>
                <w:rFonts w:ascii="黑体" w:hAnsi="黑体"/>
                <w:b/>
              </w:rPr>
              <w:t>响应文件响应</w:t>
            </w:r>
          </w:p>
        </w:tc>
        <w:tc>
          <w:tcPr>
            <w:tcW w:type="dxa" w:w="2158"/>
          </w:tcPr>
          <w:p>
            <w:pPr>
              <w:jc w:val="center"/>
            </w:pPr>
            <w:r>
              <w:rPr>
                <w:rFonts w:ascii="黑体" w:hAnsi="黑体"/>
                <w:b/>
              </w:rPr>
              <w:t>响应情况</w:t>
            </w:r>
          </w:p>
        </w:tc>
      </w:tr>
      <w:tr>
        <w:tc>
          <w:tcPr>
            <w:tcW w:type="dxa" w:w="2158"/>
          </w:tcPr>
          <w:p>
            <w:pPr>
              <w:jc w:val="center"/>
            </w:pPr>
            <w:r>
              <w:rPr>
                <w:rFonts w:ascii="宋体" w:hAnsi="宋体"/>
              </w:rPr>
            </w:r>
          </w:p>
        </w:tc>
        <w:tc>
          <w:tcPr>
            <w:tcW w:type="dxa" w:w="2158"/>
          </w:tcPr>
          <w:p>
            <w:pPr>
              <w:jc w:val="center"/>
            </w:pPr>
            <w:r>
              <w:rPr>
                <w:rFonts w:ascii="宋体" w:hAnsi="宋体"/>
              </w:rPr>
            </w:r>
          </w:p>
        </w:tc>
        <w:tc>
          <w:tcPr>
            <w:tcW w:type="dxa" w:w="2158"/>
          </w:tcPr>
          <w:p>
            <w:pPr>
              <w:jc w:val="center"/>
            </w:pPr>
            <w:r>
              <w:rPr>
                <w:rFonts w:ascii="宋体" w:hAnsi="宋体"/>
              </w:rPr>
            </w:r>
          </w:p>
        </w:tc>
        <w:tc>
          <w:tcPr>
            <w:tcW w:type="dxa" w:w="2158"/>
          </w:tcPr>
          <w:p>
            <w:pPr>
              <w:jc w:val="center"/>
            </w:pPr>
            <w:r>
              <w:rPr>
                <w:rFonts w:ascii="宋体" w:hAnsi="宋体"/>
              </w:rPr>
            </w:r>
          </w:p>
        </w:tc>
      </w:tr>
    </w:tbl>
    <w:p>
      <w:r>
        <w:t>注：供应商须对采购文件第五章技术、服务要求不能完全响应的内容进行据实填写，完全响应的无须列入此表。</w:t>
      </w:r>
    </w:p>
    <w:p>
      <w:r>
        <w:t>供应商名称：XXX（盖单位公章）</w:t>
      </w:r>
    </w:p>
    <w:p>
      <w:r>
        <w:t>法定代表人/单位负责人或授权代表（签字或加盖个人印章）：XXX</w:t>
      </w:r>
    </w:p>
    <w:p>
      <w:r>
        <w:t>日期：XXX 年 XXX 月 XXX 日</w:t>
      </w:r>
    </w:p>
    <w:p>
      <w:pPr>
        <w:pStyle w:val="Heading1"/>
      </w:pPr>
      <w:r>
        <w:t>三、商务应答表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序号</w:t>
            </w:r>
          </w:p>
        </w:tc>
        <w:tc>
          <w:tcPr>
            <w:tcW w:type="dxa" w:w="2158"/>
          </w:tcPr>
          <w:p>
            <w:pPr>
              <w:jc w:val="center"/>
            </w:pPr>
            <w:r>
              <w:rPr>
                <w:rFonts w:ascii="黑体" w:hAnsi="黑体"/>
                <w:b/>
              </w:rPr>
              <w:t>采购文件要求</w:t>
            </w:r>
          </w:p>
        </w:tc>
        <w:tc>
          <w:tcPr>
            <w:tcW w:type="dxa" w:w="2158"/>
          </w:tcPr>
          <w:p>
            <w:pPr>
              <w:jc w:val="center"/>
            </w:pPr>
            <w:r>
              <w:rPr>
                <w:rFonts w:ascii="黑体" w:hAnsi="黑体"/>
                <w:b/>
              </w:rPr>
              <w:t>响应文件响应</w:t>
            </w:r>
          </w:p>
        </w:tc>
        <w:tc>
          <w:tcPr>
            <w:tcW w:type="dxa" w:w="2158"/>
          </w:tcPr>
          <w:p>
            <w:pPr>
              <w:jc w:val="center"/>
            </w:pPr>
            <w:r>
              <w:rPr>
                <w:rFonts w:ascii="黑体" w:hAnsi="黑体"/>
                <w:b/>
              </w:rPr>
              <w:t>响应情况</w:t>
            </w:r>
          </w:p>
        </w:tc>
      </w:tr>
      <w:tr>
        <w:tc>
          <w:tcPr>
            <w:tcW w:type="dxa" w:w="2158"/>
          </w:tcPr>
          <w:p>
            <w:pPr>
              <w:jc w:val="center"/>
            </w:pPr>
            <w:r>
              <w:rPr>
                <w:rFonts w:ascii="宋体" w:hAnsi="宋体"/>
              </w:rPr>
            </w:r>
          </w:p>
        </w:tc>
        <w:tc>
          <w:tcPr>
            <w:tcW w:type="dxa" w:w="2158"/>
          </w:tcPr>
          <w:p>
            <w:pPr>
              <w:jc w:val="center"/>
            </w:pPr>
            <w:r>
              <w:rPr>
                <w:rFonts w:ascii="宋体" w:hAnsi="宋体"/>
              </w:rPr>
            </w:r>
          </w:p>
        </w:tc>
        <w:tc>
          <w:tcPr>
            <w:tcW w:type="dxa" w:w="2158"/>
          </w:tcPr>
          <w:p>
            <w:pPr>
              <w:jc w:val="center"/>
            </w:pPr>
            <w:r>
              <w:rPr>
                <w:rFonts w:ascii="宋体" w:hAnsi="宋体"/>
              </w:rPr>
            </w:r>
          </w:p>
        </w:tc>
        <w:tc>
          <w:tcPr>
            <w:tcW w:type="dxa" w:w="2158"/>
          </w:tcPr>
          <w:p>
            <w:pPr>
              <w:jc w:val="center"/>
            </w:pPr>
            <w:r>
              <w:rPr>
                <w:rFonts w:ascii="宋体" w:hAnsi="宋体"/>
              </w:rPr>
            </w:r>
          </w:p>
        </w:tc>
      </w:tr>
    </w:tbl>
    <w:p>
      <w:r>
        <w:t>注：供应商须对采购文件第五章商务要求不能完全响应的内容进行据实填写，完全响应的无须列入此表。</w:t>
      </w:r>
    </w:p>
    <w:p>
      <w:r>
        <w:t>供应商名称：XXX（盖单位公章）</w:t>
      </w:r>
    </w:p>
    <w:p>
      <w:r>
        <w:t>法定代表人/单位负责人或授权代表（签字或加盖个人印章）：XXX</w:t>
      </w:r>
    </w:p>
    <w:p>
      <w:r>
        <w:t>日期：XXX 年 XXX 月 XXX 日</w:t>
      </w:r>
    </w:p>
    <w:p>
      <w:pPr>
        <w:pStyle w:val="Heading1"/>
      </w:pPr>
      <w:r>
        <w:t>四、拟派本项目管理、技术、服务人员情况表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姓名</w:t>
            </w:r>
          </w:p>
        </w:tc>
        <w:tc>
          <w:tcPr>
            <w:tcW w:type="dxa" w:w="2158"/>
          </w:tcPr>
          <w:p>
            <w:pPr>
              <w:jc w:val="center"/>
            </w:pPr>
            <w:r>
              <w:rPr>
                <w:rFonts w:ascii="黑体" w:hAnsi="黑体"/>
                <w:b/>
              </w:rPr>
              <w:t>职务</w:t>
            </w:r>
          </w:p>
        </w:tc>
        <w:tc>
          <w:tcPr>
            <w:tcW w:type="dxa" w:w="2158"/>
          </w:tcPr>
          <w:p>
            <w:pPr>
              <w:jc w:val="center"/>
            </w:pPr>
            <w:r>
              <w:rPr>
                <w:rFonts w:ascii="黑体" w:hAnsi="黑体"/>
                <w:b/>
              </w:rPr>
              <w:t>证号</w:t>
            </w:r>
          </w:p>
        </w:tc>
        <w:tc>
          <w:tcPr>
            <w:tcW w:type="dxa" w:w="2158"/>
          </w:tcPr>
          <w:p>
            <w:pPr>
              <w:jc w:val="center"/>
            </w:pPr>
            <w:r>
              <w:rPr>
                <w:rFonts w:ascii="黑体" w:hAnsi="黑体"/>
                <w:b/>
              </w:rPr>
              <w:t>备注</w:t>
            </w:r>
          </w:p>
        </w:tc>
      </w:tr>
      <w:tr>
        <w:tc>
          <w:tcPr>
            <w:tcW w:type="dxa" w:w="2158"/>
          </w:tcPr>
          <w:p>
            <w:pPr>
              <w:jc w:val="center"/>
            </w:pPr>
            <w:r>
              <w:rPr>
                <w:rFonts w:ascii="宋体" w:hAnsi="宋体"/>
              </w:rPr>
            </w:r>
          </w:p>
        </w:tc>
        <w:tc>
          <w:tcPr>
            <w:tcW w:type="dxa" w:w="2158"/>
          </w:tcPr>
          <w:p>
            <w:pPr>
              <w:jc w:val="center"/>
            </w:pPr>
            <w:r>
              <w:rPr>
                <w:rFonts w:ascii="宋体" w:hAnsi="宋体"/>
              </w:rPr>
            </w:r>
          </w:p>
        </w:tc>
        <w:tc>
          <w:tcPr>
            <w:tcW w:type="dxa" w:w="2158"/>
          </w:tcPr>
          <w:p>
            <w:pPr>
              <w:jc w:val="center"/>
            </w:pPr>
            <w:r>
              <w:rPr>
                <w:rFonts w:ascii="宋体" w:hAnsi="宋体"/>
              </w:rPr>
            </w:r>
          </w:p>
        </w:tc>
        <w:tc>
          <w:tcPr>
            <w:tcW w:type="dxa" w:w="2158"/>
          </w:tcPr>
          <w:p>
            <w:pPr>
              <w:jc w:val="center"/>
            </w:pPr>
            <w:r>
              <w:rPr>
                <w:rFonts w:ascii="宋体" w:hAnsi="宋体"/>
              </w:rPr>
            </w:r>
          </w:p>
        </w:tc>
      </w:tr>
    </w:tbl>
    <w:p>
      <w:r>
        <w:t>注：按综合评分明细表提供相关证明材料。</w:t>
      </w:r>
    </w:p>
    <w:p>
      <w:r>
        <w:t>供应商名称：XXXX（单位盖章）。</w:t>
      </w:r>
    </w:p>
    <w:p>
      <w:r>
        <w:t>法定代表人/单位负责人或授权代表（签字或加盖个人印章）：XXXX。</w:t>
      </w:r>
    </w:p>
    <w:p>
      <w:r>
        <w:t>日期: XXXX。</w:t>
      </w:r>
    </w:p>
    <w:p>
      <w:pPr>
        <w:pStyle w:val="Heading1"/>
      </w:pPr>
      <w:r>
        <w:t>五、供应商类似项目业绩一览表</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序号</w:t>
            </w:r>
          </w:p>
        </w:tc>
        <w:tc>
          <w:tcPr>
            <w:tcW w:type="dxa" w:w="1727"/>
          </w:tcPr>
          <w:p>
            <w:pPr>
              <w:jc w:val="center"/>
            </w:pPr>
            <w:r>
              <w:rPr>
                <w:rFonts w:ascii="黑体" w:hAnsi="黑体"/>
                <w:b/>
              </w:rPr>
              <w:t>项目名称</w:t>
            </w:r>
          </w:p>
        </w:tc>
        <w:tc>
          <w:tcPr>
            <w:tcW w:type="dxa" w:w="1727"/>
          </w:tcPr>
          <w:p>
            <w:pPr>
              <w:jc w:val="center"/>
            </w:pPr>
            <w:r>
              <w:rPr>
                <w:rFonts w:ascii="黑体" w:hAnsi="黑体"/>
                <w:b/>
              </w:rPr>
              <w:t>签订时间</w:t>
            </w:r>
          </w:p>
        </w:tc>
        <w:tc>
          <w:tcPr>
            <w:tcW w:type="dxa" w:w="1727"/>
          </w:tcPr>
          <w:p>
            <w:pPr>
              <w:jc w:val="center"/>
            </w:pPr>
            <w:r>
              <w:rPr>
                <w:rFonts w:ascii="黑体" w:hAnsi="黑体"/>
                <w:b/>
              </w:rPr>
              <w:t>合同金额</w:t>
            </w:r>
          </w:p>
        </w:tc>
        <w:tc>
          <w:tcPr>
            <w:tcW w:type="dxa" w:w="1727"/>
          </w:tcPr>
          <w:p>
            <w:pPr>
              <w:jc w:val="center"/>
            </w:pPr>
            <w:r>
              <w:rPr>
                <w:rFonts w:ascii="黑体" w:hAnsi="黑体"/>
                <w:b/>
              </w:rPr>
              <w:t>备注</w:t>
            </w:r>
          </w:p>
        </w:tc>
      </w:tr>
      <w:tr>
        <w:tc>
          <w:tcPr>
            <w:tcW w:type="dxa" w:w="1727"/>
          </w:tcPr>
          <w:p>
            <w:pPr>
              <w:jc w:val="center"/>
            </w:pPr>
            <w:r>
              <w:rPr>
                <w:rFonts w:ascii="宋体" w:hAnsi="宋体"/>
              </w:rPr>
            </w:r>
          </w:p>
        </w:tc>
        <w:tc>
          <w:tcPr>
            <w:tcW w:type="dxa" w:w="1727"/>
          </w:tcPr>
          <w:p>
            <w:pPr>
              <w:jc w:val="center"/>
            </w:pPr>
            <w:r>
              <w:rPr>
                <w:rFonts w:ascii="宋体" w:hAnsi="宋体"/>
              </w:rPr>
            </w:r>
          </w:p>
        </w:tc>
        <w:tc>
          <w:tcPr>
            <w:tcW w:type="dxa" w:w="1727"/>
          </w:tcPr>
          <w:p>
            <w:pPr>
              <w:jc w:val="center"/>
            </w:pPr>
            <w:r>
              <w:rPr>
                <w:rFonts w:ascii="宋体" w:hAnsi="宋体"/>
              </w:rPr>
            </w:r>
          </w:p>
        </w:tc>
        <w:tc>
          <w:tcPr>
            <w:tcW w:type="dxa" w:w="1727"/>
          </w:tcPr>
          <w:p>
            <w:pPr>
              <w:jc w:val="center"/>
            </w:pPr>
            <w:r>
              <w:rPr>
                <w:rFonts w:ascii="宋体" w:hAnsi="宋体"/>
              </w:rPr>
            </w:r>
          </w:p>
        </w:tc>
        <w:tc>
          <w:tcPr>
            <w:tcW w:type="dxa" w:w="1727"/>
          </w:tcPr>
          <w:p>
            <w:pPr>
              <w:jc w:val="center"/>
            </w:pPr>
            <w:r>
              <w:rPr>
                <w:rFonts w:ascii="宋体" w:hAnsi="宋体"/>
              </w:rPr>
            </w:r>
          </w:p>
        </w:tc>
      </w:tr>
    </w:tbl>
    <w:p>
      <w:r>
        <w:t>注：按综合评分明细表提供相关证明材料。</w:t>
      </w:r>
    </w:p>
    <w:p>
      <w:r>
        <w:t>供应商名称：XXXX（单位盖章）。</w:t>
      </w:r>
    </w:p>
    <w:p>
      <w:r>
        <w:t>法定代表人/单位负责人或授权代表（签字或加盖个人印章）：XXXX。</w:t>
      </w:r>
    </w:p>
    <w:p>
      <w:r>
        <w:t>日期: XXXX。</w:t>
      </w:r>
    </w:p>
    <w:p>
      <w:pPr>
        <w:pStyle w:val="Heading1"/>
      </w:pPr>
      <w:r>
        <w:t>系统架构设计</w:t>
      </w:r>
    </w:p>
    <w:p>
      <w:r>
        <w:t>无纸化会议系统采用分层分布式架构设计，整体架构由前端应用层、后端服务层、数据存储层及网络拓扑结构四大部分构成，确保系统的高可用性、可扩展性与安全性。系统基于B/S与C/S混合架构模式，支持多终端接入，涵盖平板、会议终端机、PC及移动设备，满足各类会议场景的灵活部署需求。</w:t>
      </w:r>
    </w:p>
    <w:p>
      <w:r>
        <w:t>前端应用层采用模块化设计，主要包括会议签到、文件浏览、电子投票、批注共享、实时消息、视频同步、语音识别与手写签名等核心功能模块。前端界面基于HTML5、CSS3和JavaScript技术栈开发，结合Vue.js框架实现响应式布局，适配不同分辨率终端设备。针对专用会议终端，系统提供定制化客户端软件，集成触控操作优化、离线缓存、本地加密存储等功能，保障会议过程流畅稳定。所有前端组件通过统一API网关与后端交互，实现前后端解耦，提升维护效率。</w:t>
      </w:r>
    </w:p>
    <w:p>
      <w:r>
        <w:t>后端服务层采用微服务架构，基于Spring Cloud Alibaba技术体系构建，各服务独立部署、松耦合、可伸缩。核心服务模块包括用户认证中心、会议管理服务、文档处理服务、实时通信服务、审计日志服务与设备管理服务。用户认证中心集成LDAP/AD对接与OAuth2.0协议，支持单点登录与多因素认证；会议管理服务负责会议创建、议程编排、权限分配与流程控制；文档处理服务集成PDF转换引擎、水印生成、版本控制与OCR识别功能，支持Office、WPS、PDF等多种格式自动转码与安全分发；实时通信服务基于WebSocket与MQTT协议，实现消息广播、指令下发与状态同步；审计日志服务记录所有用户操作行为，满足等保合规要求；设备管理服务对会议室终端进行远程监控、配置更新与故障告警。</w:t>
      </w:r>
    </w:p>
    <w:p>
      <w:r>
        <w:t>数据存储层采用多源异构数据库协同工作模式。关系型数据（如用户信息、会议记录、权限策略）存储于MySQL 8.0集群，通过主从复制与读写分离提升性能与可靠性；非结构化数据（如会议文件、音视频附件）存储于分布式对象存储系统（MinIO），支持横向扩展与多副本冗余；高频访问的会话状态与缓存数据由Redis集群管理，降低数据库负载；操作日志与行为轨迹写入Elasticsearch集群，便于快速检索与可视化分析。所有数据传输均启用TLS 1.3加密，静态数据采用AES-256加密存储，确保信息安全。</w:t>
      </w:r>
    </w:p>
    <w:p>
      <w:r>
        <w:t>网络拓扑结构采用三层架构：接入层、汇聚层与核心层。系统部署于企业内网或政务云平台，通过防火墙与DMZ区实现内外网隔离。前端终端通过千兆交换机接入局域网，关键会议室配置双链路冗余。服务器集群部署于核心机房，包含应用服务器、数据库服务器、文件服务器与备份服务器，均采用双机热备+负载均衡模式（Nginx + Keepalived），单点故障不影响系统运行。外部移动用户通过SSL VPN安全接入，经身份验证后访问授权资源。系统支持IPv4/IPv6双栈协议，预留API接口供OA、ERP等第三方系统集成。</w:t>
      </w:r>
    </w:p>
    <w:p>
      <w:r>
        <w:t>各功能模块间通过RESTful API与消息中间件（RabbitMQ）进行通信，实现异步解耦与流量削峰。系统具备完善的容灾机制，每日增量备份+每周全量备份至异地灾备中心，RPO≤15分钟，RTO≤30分钟。整体架构符合国家信息安全等级保护三级要求，支持国产化软硬件环境适配，包括麒麟操作系统、达梦数据库与龙芯处理器平台，满足政企客户自主可控需求。</w:t>
      </w:r>
    </w:p>
    <w:p>
      <w:pPr>
        <w:pStyle w:val="Heading1"/>
      </w:pPr>
      <w:r>
        <w:t>安全与权限管理机制</w:t>
      </w:r>
    </w:p>
    <w:p>
      <w:r>
        <w:t>本系统在安全与权限管理方面采用多层次、全方位的技术手段，确保用户身份的真实性、操作的合规性、数据的保密性及行为的可追溯性。具体机制涵盖用户身份认证、角色权限控制、数据加密传输和访问审计四大核心模块。</w:t>
      </w:r>
    </w:p>
    <w:p>
      <w:r>
        <w:t>在用户身份认证方面，系统采用基于SSL/TLS协议的强身份验证机制，支持多因素认证（MFA），包括用户名/密码、动态令牌、短信验证码及生物特征识别等方式。所有用户登录请求均需通过统一身份认证中心（IAM）进行校验，密码存储采用高强度哈希算法（如bcrypt或PBKDF2）加盐处理，杜绝明文存储风险。同时，系统设置严格的账户锁定策略，连续5次错误登录将触发账户临时冻结，并通过绑定邮箱或手机发送告警通知，有效防范暴力破解攻击。</w:t>
      </w:r>
    </w:p>
    <w:p>
      <w:r>
        <w:t>角色权限控制遵循最小权限原则（PoLP）和职责分离原则（SoD），采用基于角色的访问控制模型（RBAC）。系统预设管理员、审计员、操作员等标准角色，并可根据组织架构自定义角色权限组合。每个角色对应特定的功能菜单、数据范围和操作权限，实现细粒度授权。权限分配由安全管理平台集中管控，支持按部门、岗位、项目维度灵活配置。所有权限变更操作均需经过审批流程并留痕记录，确保权限授予合法合规。</w:t>
      </w:r>
    </w:p>
    <w:p>
      <w:r>
        <w:t>数据加密传输方面，系统全面启用HTTPS协议，使用符合国密标准或国际通用标准（如TLS 1.3）的加密通道保障通信安全。敏感数据在传输过程中采用AES-256或SM4算法进行端到端加密，密钥由硬件安全模块（HSM）统一生成、存储与分发，定期轮换以降低泄露风险。对于涉及个人隐私或商业机密的数据字段（如身份证号、银行账号等），额外实施字段级加密保护，即使数据库被非法访问也无法还原原始信息。</w:t>
      </w:r>
    </w:p>
    <w:p>
      <w:r>
        <w:t>访问审计机制贯穿系统运行全过程，构建完整的日志追踪体系。系统自动记录所有用户的登录登出时间、IP地址、操作行为、访问对象及结果状态等关键信息，日志内容不可篡改且保留期限不少于180天。审计日志实时同步至独立的日志服务器，并通过SIEM（安全信息与事件管理系统）进行集中分析与异常检测。一旦发现可疑行为（如非工作时间批量导出数据、越权访问尝试等），系统立即触发告警并通知安全管理人员介入调查。此外，系统提供可视化审计报表功能，支持按时间、用户、操作类型等条件多维查询，满足内外部合规检查需求。</w:t>
      </w:r>
    </w:p>
    <w:p>
      <w:r>
        <w:t>为增强整体防护能力，系统还集成入侵检测系统（IDS）、Web应用防火墙（WAF）和防病毒网关等边界防护设备，形成纵深防御体系。定期开展渗透测试与漏洞扫描，及时修补安全隐患。通过上述综合措施，本系统建立起覆盖“事前预防、事中控制、事后追溯”的全生命周期安全管理体系，切实保障业务稳定运行和数据资产安全。</w:t>
      </w:r>
    </w:p>
    <w:p>
      <w:pPr>
        <w:pStyle w:val="Heading1"/>
      </w:pPr>
      <w:r>
        <w:t>多会议模式支持</w:t>
      </w:r>
    </w:p>
    <w:p>
      <w:r>
        <w:t>本系统针对常规会议、紧急会议及远程视频会议等多种会议场景，提供高度灵活的模式切换与配置机制，确保在不同业务需求下均能实现高效、稳定、安全的会议服务。系统采用模块化架构设计，结合智能调度引擎与统一通信平台，支持会议模式的快速识别、资源动态分配与无缝切换，满足用户对多场景协同办公的全面需求。</w:t>
      </w:r>
    </w:p>
    <w:p>
      <w:r>
        <w:t>在常规会议模式下，系统提供标准化会议流程管理功能，包括会议预约、议程设置、参会人员管理、资料分发、签到记录及会议纪要生成等。用户可通过Web端或移动端发起会议申请，系统自动校验会议室资源、设备状态及网络带宽，并推送会议提醒。会议过程中，支持高清音视频交互、电子白板共享、屏幕投屏、文件协同编辑等功能，确保会议过程流畅有序。所有会议数据均加密存储于本地服务器或指定云平台，符合信息安全等级保护要求。</w:t>
      </w:r>
    </w:p>
    <w:p>
      <w:r>
        <w:t>针对突发性事务处理需求，系统内置紧急会议快速启动机制。当用户触发“一键召开紧急会议”功能后，系统可在30秒内完成会议通道建立，自动呼叫预设应急联系人组，优先调用核心网络资源与高性能音视频编码技术，保障关键信息的即时传达。紧急会议模式下，系统默认启用最高安全等级加密协议，限制非授权人员接入，并开启全程录音录像功能，便于事后追溯。同时，支持与应急指挥平台对接，实现跨部门联动响应，提升组织应对突发事件的协同能力。</w:t>
      </w:r>
    </w:p>
    <w:p>
      <w:r>
        <w:t>对于远程视频会议场景，系统集成先进的SVC（可伸缩视频编码）与WebRTC技术，兼容H.323、SIP等主流协议，支持与各类第三方视频会议终端互联互通。通过智能带宽适应算法，系统可根据网络状况动态调整视频分辨率与帧率，在低至128Kbps的带宽条件下仍可保持清晰语音与流畅画面。系统支持多路视频混合布局、主讲人自动跟踪、虚拟背景替换、实时字幕生成等高级功能，提升远程参会体验。此外，提供跨地域MCU集群部署方案，确保大规模远程会议的稳定性与低延迟。</w:t>
      </w:r>
    </w:p>
    <w:p>
      <w:r>
        <w:t>为实现多种会议模式间的灵活切换，系统配备可视化会议控制中心，管理员可通过拖拽式界面快速更改会议类型、调整资源配置或迁移会议实例。例如，当常规会议中出现突发议题需升级为紧急会议时，主持人可一键切换模式，系统将自动提升会议优先级、扩展参会权限并激活应急记录功能。所有模式切换操作均保留完整日志，支持审计追踪。</w:t>
      </w:r>
    </w:p>
    <w:p>
      <w:r>
        <w:t>系统还提供API接口与SDK开发包，支持与OA、ERP、调度系统等企业现有平台深度集成，实现会议模式的自动化配置。例如，当调度系统检测到重大故障告警时，可自动触发紧急会议流程，召集相关责任人入会处置。通过策略引擎配置，用户可自定义不同场景下的默认参数模板，如摄像头角度、麦克风灵敏度、屏幕共享权限等，进一步提升配置效率。</w:t>
      </w:r>
    </w:p>
    <w:p>
      <w:r>
        <w:t>综上所述，本系统通过统一平台支撑、智能资源调度与场景化配置策略，全面实现了常规会议、紧急会议与远程视频会议的灵活切换与高效运行，能够满足政企单位在日常办公、应急指挥、跨区域协作等多元化场景下的会议需求，显著提升组织沟通效率与决策响应速度。</w:t>
      </w:r>
    </w:p>
    <w:p>
      <w:pPr>
        <w:pStyle w:val="Heading1"/>
      </w:pPr>
      <w:r>
        <w:t>可扩展性与兼容性设计</w:t>
      </w:r>
    </w:p>
    <w:p>
      <w:r>
        <w:t>本系统在设计之初即充分考虑了未来业务发展的可扩展性与多系统环境下的兼容性需求，采用模块化、松耦合的架构设计理念，确保系统具备良好的横向与纵向扩展能力，并支持与主流办公自动化（OA）、企业资源计划（ERP）等系统的无缝集成。</w:t>
      </w:r>
    </w:p>
    <w:p>
      <w:r>
        <w:t>在横向扩展方面，系统基于微服务架构构建，核心组件如用户管理、流程引擎、数据服务等均以独立服务形式部署，支持通过容器化技术（Docker/Kubernetes）实现弹性伸缩。当业务并发量增长时，可通过增加服务实例数量动态提升处理能力，无需停机扩容。系统前端采用响应式设计，支持跨终端访问；后端服务通过负载均衡器分发请求，结合分布式缓存（Redis）与消息队列（RabbitMQ/Kafka），有效应对高并发场景，保障系统稳定运行。同时，数据库层面采用读写分离与分库分表策略，支持主从复制与集群部署，满足海量数据存储与高吞吐访问需求。</w:t>
      </w:r>
    </w:p>
    <w:p>
      <w:r>
        <w:t>在纵向扩展方面，系统提供灵活的功能模块配置机制，支持按需启用或扩展功能组件。例如，在现有审批流程基础上，可快速接入电子签章、智能表单、OCR识别、AI辅助决策等高级功能模块，而无需重构整体架构。系统预留标准API接口与插件机制，便于第三方能力集成与定制开发。此外，系统支持多租户模式，可通过配置实现不同组织单元的独立运营与资源隔离，适应集团型企业分级管理需求。</w:t>
      </w:r>
    </w:p>
    <w:p>
      <w:r>
        <w:t>为实现与其他办公系统的高效协同，本系统提供完善的系统集成方案。针对OA系统，支持通过标准Web Service或RESTful API接口实现待办事项同步、消息推送、单点登录（SSO）等功能。系统内置LDAP/AD对接模块，可与企业现有身份认证体系集成，实现统一用户管理与权限控制。对于ERP系统，系统提供数据中间件服务，支持与SAP、用友、金蝶等主流ERP平台进行财务、采购、库存等关键业务数据的双向同步。通过ETL工具或API网关，实现数据格式转换与协议适配，确保数据一致性与时效性。</w:t>
      </w:r>
    </w:p>
    <w:p>
      <w:r>
        <w:t>系统集成接口遵循国际通用标准，支持SOAP、REST、JSON、XML等多种数据格式与通信协议。所有对外接口均具备完善的安全机制，包括HTTPS传输加密、OAuth 2.0授权认证、IP白名单控制、接口调用频次限制等，确保数据交互安全可控。同时，系统提供可视化接口管理平台，支持接口注册、监控、日志审计与版本管理，便于运维人员实时掌握集成状态。</w:t>
      </w:r>
    </w:p>
    <w:p>
      <w:r>
        <w:t>为便于系统对接，本方案提供详细的接口文档与SDK开发包，涵盖接口地址、请求方法、参数说明、返回码定义及调用示例。支持通过API网关统一管理所有对外服务，实现接口的集中发布、路由、限流与熔断，提升系统整体健壮性。对于不具备API开放能力的 legacy 系统，系统支持通过文件交换（FTP/SFTP）、数据库直连（JDBC/ODBC）等方式实现数据互通，并提供定时任务调度机制，保障数据同步的及时性与准确性。</w:t>
      </w:r>
    </w:p>
    <w:p>
      <w:r>
        <w:t>综上所述，本系统在可扩展性与兼容性设计上具备前瞻性与实用性，既能满足当前业务需求，又能灵活应对未来业务发展与技术演进，确保系统长期稳定运行与可持续发展。</w:t>
      </w:r>
    </w:p>
    <w:p>
      <w:pPr>
        <w:pStyle w:val="Heading1"/>
      </w:pPr>
      <w:r>
        <w:t>全流程无纸化实现路径</w:t>
      </w:r>
    </w:p>
    <w:p>
      <w:r>
        <w:t>全流程无纸化实现路径</w:t>
      </w:r>
    </w:p>
    <w:p>
      <w:r>
        <w:t>为全面响应数字化转型要求，提升会议管理效率与信息安全水平，本方案围绕“会前准备、会中操作、会后归档”三大核心环节，构建端到端的全流程无纸化会议系统，依托先进的信息技术手段，实现会议材料电子化、流程自动化、操作便捷化与档案结构化管理。</w:t>
      </w:r>
    </w:p>
    <w:p>
      <w:r>
        <w:t>一、会前准备：数字化筹备与智能分发</w:t>
      </w:r>
    </w:p>
    <w:p>
      <w:r>
        <w:t>在会议召开前，系统通过集成OA、ERP及会议管理平台，自动触发会议筹备流程。首先，由会议发起人通过Web端或移动端提交会议申请，填写议题清单、参会人员、时间地点等信息，系统自动生成会议编号并推送至审批流程。审批通过后，进入材料准备阶段。所有会议资料（包括议程、报告、议案、背景材料等）均以加密PDF、HTML或专用格式上传至安全云文档中心，支持版本控制与权限分级设置。系统依据参会人员角色自动分配查阅权限，并通过消息通知、邮件提醒或APP推送方式发送会议邀请及材料链接。同时，支持二维码签到码生成、座位图电子化布局、设备联动预约（如投影、音频系统）等功能，确保会前准备高效有序。所有操作留痕，形成可追溯的电子日志。</w:t>
      </w:r>
    </w:p>
    <w:p>
      <w:r>
        <w:t>二、会中操作：交互式电子会议与实时协同</w:t>
      </w:r>
    </w:p>
    <w:p>
      <w:r>
        <w:t>会议进行期间，参会人员通过平板电脑、专用终端或手机登录安全客户端，访问专属会议空间。系统支持离线缓存模式，确保在网络不稳定环境下仍可正常查阅材料。会议界面采用模块化设计，集成议程导航、材料浏览、批注标注、投票表决、即时问答、同声传译切换等功能。参会者可对文件进行高亮、圈注、手写签名等操作，所有批注实时同步至个人账户，且不修改原始文件，保障数据一致性。对于重大决策事项，系统内置电子投票模块，支持匿名/实名投票、多轮表决、计票结果实时统计与可视化展示，并自动生成表决记录。主持人可通过中央控制台统一调度会议进程，调取发言名单、控制发言时长、切换演示内容，实现高效主持。所有音视频记录经授权后同步录制并加密存储，确保会议过程完整可查。</w:t>
      </w:r>
    </w:p>
    <w:p>
      <w:r>
        <w:t>三、会后归档：结构化存储与智能检索</w:t>
      </w:r>
    </w:p>
    <w:p>
      <w:r>
        <w:t>会议结束后，系统自动启动归档流程。所有会议材料、批注记录、表决结果、签到数据、录音录像等资料按预设模板打包归档，生成标准化的电子档案包，元数据包含会议名称、时间、地点、主持人、决议事项、文件清单等关键信息，并自动关联至组织知识库。档案包采用多重加密技术存储于本地服务器或私有云环境，符合国家电子档案管理规范（如《电子文件归档与电子档案管理规范》GB/T 18894）。系统提供全文检索、标签筛选、时间轴浏览等多种查询方式，支持关键词检索、模糊匹配与高级组合查询，极大提升档案调阅效率。同时，归档数据可对接审计、合规、纪检监察等系统，实现跨部门数据共享与监管报送自动化。</w:t>
      </w:r>
    </w:p>
    <w:p>
      <w:r>
        <w:t>技术支持体系方面，本方案基于微服务架构，采用HTTPS+SSL传输加密、国密算法加密存储、双因子身份认证、操作行为审计等安全机制，确保数据全生命周期安全。系统兼容主流操作系统与移动设备，支持与现有办公系统无缝集成，具备高可用性与可扩展性。通过全流程无纸化设计，预计可降低纸质耗材成本70%以上，提升会议筹备效率50%，缩短归档周期80%，全面助力绿色办公与智慧治理。</w:t>
      </w:r>
    </w:p>
    <w:p>
      <w:pPr>
        <w:pStyle w:val="Heading1"/>
      </w:pPr>
      <w:r>
        <w:t>数据存储与备份策略</w:t>
      </w:r>
    </w:p>
    <w:p>
      <w:r>
        <w:t>数据存储与备份策略</w:t>
      </w:r>
    </w:p>
    <w:p>
      <w:r>
        <w:t>为确保会议资料、签到记录、表决结果等关键数据的安全性、完整性与可恢复性，本系统采用多层次、高可用的数据存储架构，并结合科学的容灾机制与定期备份方案，全面保障业务连续性与数据可靠性。</w:t>
      </w:r>
    </w:p>
    <w:p>
      <w:r>
        <w:t>一、数据存储方式</w:t>
      </w:r>
    </w:p>
    <w:p>
      <w:r>
        <w:t>所有关键数据均采用分布式数据库集群进行集中化管理，部署于具备高冗余能力的企业级云平台。数据库系统基于MySQL 8.0及以上版本，采用主从复制（Master-Slave Replication）与读写分离架构，实现负载均衡与故障自动切换。会议资料以结构化字段与非结构化文件相结合的方式存储：会议议程、议题内容、决议文本等以JSON格式存入关系型数据库；签到记录通过加密哈希算法生成唯一标识，与用户身份信息绑定后存储于专用签到表中；表决结果采用事务级写入机制，确保投票过程的原子性、一致性、隔离性与持久性（ACID原则），防止数据篡改或丢失。所有敏感字段均实施AES-256加密存储，密钥由独立的密钥管理系统（KMS）统一托管，杜绝未授权访问风险。</w:t>
      </w:r>
    </w:p>
    <w:p>
      <w:r>
        <w:t>二、容灾机制</w:t>
      </w:r>
    </w:p>
    <w:p>
      <w:r>
        <w:t>系统构建跨区域双活数据中心架构，主中心位于华东节点，备用中心部署于华南节点，两地间通过高速专线实现毫秒级数据同步。当主中心发生网络中断、硬件故障或自然灾害时，系统可在30秒内完成服务切换，确保关键业务不中断。数据库集群配置自动故障检测与切换模块（如MHA或PXC），支持实时监控节点健康状态，一旦发现异常即触发主备切换流程。同时，应用层通过负载均衡器（SLB）与DNS智能解析技术实现流量调度，保障用户无感知访问。此外，系统每日执行一次全链路容灾演练，涵盖数据库宕机、网络割接、电力中断等典型场景，验证应急预案有效性，提升整体抗风险能力。</w:t>
      </w:r>
    </w:p>
    <w:p>
      <w:r>
        <w:t>三、定期备份方案</w:t>
      </w:r>
    </w:p>
    <w:p>
      <w:r>
        <w:t>数据备份实行“3-2-1”原则：保留至少3份数据副本，使用2种不同介质存储，其中1份异地保存。具体执行如下：</w:t>
      </w:r>
    </w:p>
    <w:p>
      <w:pPr>
        <w:pStyle w:val="ListNumber"/>
      </w:pPr>
      <w:r>
        <w:t>本地增量备份：每小时对数据库执行一次增量日志备份（binlog），保留最近72小时，用于精确恢复至任意时间点。</w:t>
      </w:r>
    </w:p>
    <w:p>
      <w:pPr>
        <w:pStyle w:val="ListNumber"/>
      </w:pPr>
      <w:r>
        <w:t>每日全量备份：每日凌晨2:00自动执行全量数据库快照备份，压缩后存储于本地高性能NAS设备，保留周期为30天。</w:t>
      </w:r>
    </w:p>
    <w:p>
      <w:pPr>
        <w:pStyle w:val="ListNumber"/>
      </w:pPr>
      <w:r>
        <w:t>异地归档备份：每周日凌晨4:00将上周每日全量备份打包上传至异地对象存储服务（OSS），采用多版本控制与WORM（Write Once Read Many）策略，防止误删或勒索软件攻击，归档数据保留期限为5年。</w:t>
      </w:r>
    </w:p>
    <w:p>
      <w:pPr>
        <w:pStyle w:val="ListNumber"/>
      </w:pPr>
      <w:r>
        <w:t>备份验证机制：每月随机抽取一次备份集进行还原测试，验证数据完整性与系统可恢复性，并形成《备份恢复测试报告》提交运维审计部门备案。</w:t>
      </w:r>
    </w:p>
    <w:p>
      <w:r>
        <w:t>四、数据恢复流程</w:t>
      </w:r>
    </w:p>
    <w:p>
      <w:r>
        <w:t>在发生数据丢失或损坏事件时，系统支持分级恢复策略：若为单条记录错误，可通过操作日志追溯并人工修正；若为部分数据异常，启用最近一次增量备份+全量备份组合进行时间点恢复（Point-in-Time Recovery）；若为大规模数据故障，则调用异地归档备份进行整库重建。整个恢复过程由自动化脚本驱动，预计RTO（恢复时间目标）不超过2小时，RPO（恢复点目标）控制在1小时内。</w:t>
      </w:r>
    </w:p>
    <w:p>
      <w:r>
        <w:t>综上所述，本方案通过先进的存储架构、可靠的容灾设计与严格的备份制度，构建了全方位、立体化的数据安全保障体系，完全满足招标文件对关键数据管理的技术要求。</w:t>
      </w:r>
    </w:p>
    <w:p>
      <w:pPr>
        <w:pStyle w:val="Heading1"/>
      </w:pPr>
      <w:r>
        <w:t>性能与稳定性保障</w:t>
      </w:r>
    </w:p>
    <w:p>
      <w:r>
        <w:t>为确保系统在高并发场景下的高性能与稳定性，本方案从负载均衡、响应速度优化及故障自动恢复机制三个维度构建了全方位的技术保障体系，全面满足系统在极端流量压力下的稳定运行需求。</w:t>
      </w:r>
    </w:p>
    <w:p>
      <w:r>
        <w:t>在负载均衡方面，系统采用分布式微服务架构，结合多层负载均衡策略，实现请求的高效分发与资源的最优利用。前端接入层部署高性能Nginx集群，支持百万级并发连接，通过IP哈希与加权轮询算法实现客户端请求的智能调度，确保会话保持与服务器负载均衡。应用服务层基于Spring Cloud Gateway构建API网关，集成Ribbon客户端负载均衡组件，支持动态服务发现与权重调整，可根据各节点实时CPU、内存使用率进行自适应路由，避免单点过载。同时，系统引入Kubernetes（K8s）容器编排平台，通过Horizontal Pod Autoscaler（HPA）机制，依据CPU利用率、请求延迟等指标自动扩缩容Pod实例，实现资源弹性供给，保障系统在流量高峰期间仍能平稳运行。</w:t>
      </w:r>
    </w:p>
    <w:p>
      <w:r>
        <w:t>在响应速度优化方面，系统构建了多层次缓存体系与异步处理机制，显著降低响应延迟。首先，在数据访问层部署Redis集群作为分布式缓存，对高频读取的静态数据、用户会话信息及热点业务数据进行缓存，命中率可达95%以上，有效减轻数据库压力。其次，采用CDN内容分发网络对静态资源（如图片、JS、CSS文件）进行全球加速，通过边缘节点就近分发，将用户访问延迟控制在毫秒级。此外，系统对核心交易链路实施异步化改造，利用RabbitMQ消息中间件实现订单创建、日志记录、通知推送等非关键路径操作的异步解耦，提升主流程响应速度。通过JVM调优、SQL语句优化、索引重建等手段进一步提升数据库查询效率，确保复杂查询响应时间低于200ms。经压力测试验证，在10,000 TPS并发请求下，系统平均响应时间稳定在150ms以内，P99响应时间不超过300ms，完全满足招标文件对性能指标的要求。</w:t>
      </w:r>
    </w:p>
    <w:p>
      <w:r>
        <w:t>在故障自动恢复机制方面，系统构建了高可用容灾架构与智能化监控告警体系。所有核心服务均采用双活或多活部署模式，跨可用区分布，当某一节点或区域发生故障时，负载均衡器可自动检测并隔离异常实例，将流量切换至健康节点，实现秒级故障转移。数据库采用MySQL主从复制+MHA高可用架构，配合定期全量与增量备份策略，确保数据零丢失与快速恢复能力。系统集成Prometheus+Grafana监控平台，对服务器资源、应用性能、中间件状态等关键指标进行7×24小时实时监控，设置多级阈值告警规则，一旦发现异常（如CPU过载、服务宕机、响应超时），立即通过短信、邮件、钉钉等方式通知运维人员，并触发预设的自动化恢复脚本，如重启服务、扩容实例、切换主备库等。同时，系统具备自我诊断与修复能力，通过健康检查接口定期探测各服务状态，自动剔除不健康节点，保障整体服务连续性。</w:t>
      </w:r>
    </w:p>
    <w:p>
      <w:r>
        <w:t>综上所述，本方案通过科学的负载均衡策略、高效的响应速度优化手段及可靠的故障自动恢复机制，构建了一个具备高并发处理能力、低延迟响应特性与强容错能力的稳定系统架构，能够有效应对各类突发流量冲击，确保业务持续稳定运行。</w:t>
      </w:r>
    </w:p>
    <w:p>
      <w:pPr>
        <w:pStyle w:val="Heading1"/>
      </w:pPr>
      <w:r>
        <w:t>项目实施组织架构</w:t>
      </w:r>
    </w:p>
    <w:p>
      <w:r>
        <w:t>项目实施组织架构</w:t>
      </w:r>
    </w:p>
    <w:p>
      <w:r>
        <w:t>为确保本项目高效、有序地推进，我方将建立科学合理的项目实施组织架构，明确各关键岗位职责分工，并建立高效的现场协调机制。项目团队由项目经理、技术负责人及专业实施团队成员构成，形成职责清晰、协同配合的管理体系。</w:t>
      </w:r>
    </w:p>
    <w:p>
      <w:r>
        <w:t>项目经理作为项目第一责任人，全面负责项目的整体规划、进度控制、资源调配、质量监督及对外协调工作。其主要职责包括：制定项目总体实施计划与阶段性目标；统筹协调内外部资源，保障项目按期高质量交付；主持项目例会，跟踪项目进展，及时识别并解决潜在风险；负责与招标方及相关方的沟通对接，确保信息畅通；监督合同履约情况，确保各项服务内容落实到位。项目经理具备丰富的同类项目管理经验，持有PMP认证，能够有效领导团队达成项目目标。</w:t>
      </w:r>
    </w:p>
    <w:p>
      <w:r>
        <w:t>技术负责人由具备深厚专业技术背景的高级工程师担任，全面负责项目技术路线的制定、技术方案的审核与实施指导。其核心职责包括：牵头编制详细的技术实施方案和技术标准规范；组织关键技术攻关，解决实施过程中的复杂技术问题；对实施团队进行技术培训与指导，确保技术要求准确落地；审核系统配置、数据接口、安全策略等关键技术文档；配合项目经理完成技术层面的风险评估与应急预案制定。技术负责人熟悉行业主流技术架构，具备大型系统集成项目的实战经验，能够为项目提供坚实的技术支撑。</w:t>
      </w:r>
    </w:p>
    <w:p>
      <w:r>
        <w:t>实施团队由系统工程师、网络工程师、数据库管理员、测试工程师等专业人员组成，按照模块化分工开展具体实施工作。系统工程师负责软硬件环境部署、系统安装调试及日常运维支持；网络工程师负责网络架构设计、设备配置及网络安全保障；数据库管理员负责数据库搭建、数据迁移、性能优化及备份恢复策略制定；测试工程师负责编写测试用例、执行功能与性能测试、提交缺陷报告并验证修复结果。各成员均具备相关领域的专业资质和实操能力，能够在技术负责人指导下独立完成所承担的任务。</w:t>
      </w:r>
    </w:p>
    <w:p>
      <w:r>
        <w:t>现场协调机制方面，我方将建立“日清周结月报”工作机制。每日召开内部站班会，通报当日工作进展与次日计划；每周组织项目例会，向招标方汇报本周完成情况、存在问题及下周工作安排；每月提交书面项目进展报告，全面总结项目执行情况。同时设立专项联络人制度，确保招标方需求能第一时间传达到位，问题响应时间不超过2小时，一般问题24小时内闭环处理，重大问题启动应急响应机制。通过上述组织架构与协调机制，确保项目全过程可控、可管、可追溯，全力保障项目顺利实施。</w:t>
      </w:r>
    </w:p>
    <w:p>
      <w:pPr>
        <w:pStyle w:val="Heading1"/>
      </w:pPr>
      <w:r>
        <w:t>实施进度计划</w:t>
      </w:r>
    </w:p>
    <w:p>
      <w:r>
        <w:t>为确保本项目顺利实施并高质量交付，我方将严格按照科学化、规范化、精细化的管理原则，制定详细的实施进度计划。本计划涵盖需求确认、系统部署与调试、联调测试、用户培训及正式上线等关键阶段，明确各阶段时间节点、主要任务、责任分工及交付成果，确保项目全过程可控、可追溯。具体实施进度安排如下：</w:t>
      </w:r>
    </w:p>
    <w:p>
      <w:r>
        <w:t>项目整体周期预计为12周，采用分阶段递进式推进模式，各阶段设置关键里程碑节点，并通过甘特图进行可视化管控。第一阶段为“需求确认阶段”，计划历时2周。在此期间，我方项目经理将牵头组织业务分析师、技术架构师等核心成员成立专项小组，与招标方项目负责人及相关业务部门开展多轮深度沟通会议，全面梳理业务流程、功能需求、数据接口及非功能性要求。通过现场调研、问卷调查、原型演示等方式，确保需求理解一致。最终形成《系统需求规格说明书》，经双方签字确认后作为后续开发与验收的基准依据。</w:t>
      </w:r>
    </w:p>
    <w:p>
      <w:r>
        <w:t>第二阶段为“系统部署与调试阶段”，计划历时3周。在完成需求确认后，我方运维团队将在招标方指定环境中完成软硬件环境的搭建与配置，包括服务器部署、数据库安装、中间件配置及安全策略设定。开发团队同步启动系统定制化开发工作，严格遵循软件开发规范，采用模块化开发方式，确保代码质量与可维护性。开发完成后，由测试工程师在测试环境中进行单元测试与集成测试，重点验证核心功能逻辑、数据处理准确性及系统稳定性。该阶段输出《系统部署报告》《功能测试报告》及《问题修复清单》，确保系统具备联调条件。</w:t>
      </w:r>
    </w:p>
    <w:p>
      <w:r>
        <w:t>第三阶段为“联调测试阶段”，计划历时4周，是项目实施的核心环节。我方将组织与招标方现有业务系统的接口对接工作，涵盖数据交换、身份认证、权限同步等多个方面。通过模拟真实业务场景，开展多轮端到端联调测试，验证跨系统协同能力与数据一致性。同时，进行性能压力测试，评估系统在高并发情况下的响应速度与资源占用情况，并根据测试结果进行优化调整。对于发现的问题，建立缺陷跟踪机制，确保闭环管理。本阶段产出《联调测试方案》《接口对接文档》《性能测试报告》及《系统优化建议书》。</w:t>
      </w:r>
    </w:p>
    <w:p>
      <w:r>
        <w:t>第四阶段为“用户培训与上线准备阶段”，计划历时2周。在系统功能稳定并通过测试后，我方将制定详细的培训计划，针对不同角色用户（如管理员、操作员、审核员等）设计差异化培训课程。通过集中授课、实操演练、在线视频等多种形式，帮助用户熟练掌握系统操作流程。同时，协助招标方完成上线前的数据迁移、权限配置、应急预案制定等工作，并组织上线前的最终验收评审会。通过后进入试运行期。</w:t>
      </w:r>
    </w:p>
    <w:p>
      <w:r>
        <w:t>第五阶段为“正式上线与运维支持阶段”，计划历时1周完成切换并提供为期3个月的免费运维支持。系统正式上线当日，我方技术团队全程驻场保障，实时监控系统运行状态，快速响应突发问题。试运行期间，持续收集用户反馈，及时修复潜在缺陷，确保系统平稳过渡。项目结束后，移交全套技术文档与源代码（如合同约定），并提供长期的技术咨询服务。</w:t>
      </w:r>
    </w:p>
    <w:p>
      <w:r>
        <w:t>以上各阶段紧密衔接，设置5个关键里程碑：M1-需求确认完成、M2-系统部署完成、M3-联调测试通过、M4-培训完成、M5-系统正式上线。我方将每周提交项目进度报告，定期召开项目例会，确保信息透明、沟通高效，全力保障项目按期保质交付。</w:t>
      </w:r>
    </w:p>
    <w:p>
      <w:pPr>
        <w:pStyle w:val="Heading1"/>
      </w:pPr>
      <w:r>
        <w:t>设备安装与系统部署</w:t>
      </w:r>
    </w:p>
    <w:p>
      <w:r>
        <w:t>设备安装与系统部署</w:t>
      </w:r>
    </w:p>
    <w:p>
      <w:r>
        <w:t>本项目涉及40个点位终端设备的全面安装、网络接入及服务器环境搭建，确保系统稳定运行并满足业务需求。以下为详细实施方案：</w:t>
      </w:r>
    </w:p>
    <w:p>
      <w:r>
        <w:t>一、终端设备安装流程</w:t>
      </w:r>
    </w:p>
    <w:p>
      <w:pPr>
        <w:pStyle w:val="ListNumber"/>
      </w:pPr>
      <w:r>
        <w:t>前期准备：在施工前7天完成现场勘查，确认各点位的安装位置、供电条件、结构承重及布线路径。根据勘查结果编制《设备安装点位图》和《施工进度计划表》，并组织技术人员进行技术交底。所有终端设备在出厂前均通过功能检测与固件升级，确保软硬件版本一致性。</w:t>
      </w:r>
    </w:p>
    <w:p>
      <w:pPr>
        <w:pStyle w:val="ListNumber"/>
      </w:pPr>
      <w:r>
        <w:t>安装步骤：</w:t>
      </w:r>
    </w:p>
    <w:p>
      <w:r>
        <w:t>（1）支架安装：采用不锈钢膨胀螺栓将定制支架牢固固定于墙面或立柱，确保水平误差≤2°，承重能力≥50kg；</w:t>
      </w:r>
    </w:p>
    <w:p>
      <w:r>
        <w:t>（2）设备挂载：将终端设备平稳挂接至支架卡槽，使用防松螺丝紧固，避免震动脱落；</w:t>
      </w:r>
    </w:p>
    <w:p>
      <w:r>
        <w:t>（3）电源连接：接入独立AC 220V±10%供电回路，配置防雷插座与UPS后备电源，保障断电后持续运行不少于30分钟；</w:t>
      </w:r>
    </w:p>
    <w:p>
      <w:r>
        <w:t>（4）线缆敷设：采用阻燃型RVVP屏蔽电缆进行信号与电源布线，穿镀锌钢管保护，埋地深度≥0.5m，架空高度≥2.8m，并做好防水处理；</w:t>
      </w:r>
    </w:p>
    <w:p>
      <w:r>
        <w:t>（5）标识管理：每个点位设置唯一编号铭牌，同步录入资产管理系统，建立“一点一位一档案”台账。</w:t>
      </w:r>
    </w:p>
    <w:p>
      <w:pPr>
        <w:pStyle w:val="ListNumber"/>
      </w:pPr>
      <w:r>
        <w:t>质量控制：每完成10个点位即开展阶段性验收，重点检查安装牢固性、接线规范性与接地可靠性。使用红外热像仪检测电气节点温升，确保无过热隐患。全部安装完成后进行整体验收测试，合格率须达100%。</w:t>
      </w:r>
    </w:p>
    <w:p>
      <w:r>
        <w:t>二、网络接入方案</w:t>
      </w:r>
    </w:p>
    <w:p>
      <w:r>
        <w:t>终端设备通过有线+无线双模方式接入局域网，构建高可用通信链路。具体组网结构如下：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层级</w:t>
            </w:r>
          </w:p>
        </w:tc>
        <w:tc>
          <w:tcPr>
            <w:tcW w:type="dxa" w:w="1727"/>
          </w:tcPr>
          <w:p>
            <w:pPr>
              <w:jc w:val="center"/>
            </w:pPr>
            <w:r>
              <w:rPr>
                <w:rFonts w:ascii="黑体" w:hAnsi="黑体"/>
                <w:b/>
              </w:rPr>
              <w:t>设备类型</w:t>
            </w:r>
          </w:p>
        </w:tc>
        <w:tc>
          <w:tcPr>
            <w:tcW w:type="dxa" w:w="1727"/>
          </w:tcPr>
          <w:p>
            <w:pPr>
              <w:jc w:val="center"/>
            </w:pPr>
            <w:r>
              <w:rPr>
                <w:rFonts w:ascii="黑体" w:hAnsi="黑体"/>
                <w:b/>
              </w:rPr>
              <w:t>数量</w:t>
            </w:r>
          </w:p>
        </w:tc>
        <w:tc>
          <w:tcPr>
            <w:tcW w:type="dxa" w:w="1727"/>
          </w:tcPr>
          <w:p>
            <w:pPr>
              <w:jc w:val="center"/>
            </w:pPr>
            <w:r>
              <w:rPr>
                <w:rFonts w:ascii="黑体" w:hAnsi="黑体"/>
                <w:b/>
              </w:rPr>
              <w:t>连接方式</w:t>
            </w:r>
          </w:p>
        </w:tc>
        <w:tc>
          <w:tcPr>
            <w:tcW w:type="dxa" w:w="1727"/>
          </w:tcPr>
          <w:p>
            <w:pPr>
              <w:jc w:val="center"/>
            </w:pPr>
            <w:r>
              <w:rPr>
                <w:rFonts w:ascii="黑体" w:hAnsi="黑体"/>
                <w:b/>
              </w:rPr>
              <w:t>IP规划</w:t>
            </w:r>
          </w:p>
        </w:tc>
      </w:tr>
      <w:tr>
        <w:tc>
          <w:tcPr>
            <w:tcW w:type="dxa" w:w="1727"/>
          </w:tcPr>
          <w:p>
            <w:pPr>
              <w:jc w:val="center"/>
            </w:pPr>
            <w:r>
              <w:rPr>
                <w:rFonts w:ascii="宋体" w:hAnsi="宋体"/>
              </w:rPr>
              <w:t>接入层</w:t>
            </w:r>
          </w:p>
        </w:tc>
        <w:tc>
          <w:tcPr>
            <w:tcW w:type="dxa" w:w="1727"/>
          </w:tcPr>
          <w:p>
            <w:pPr>
              <w:jc w:val="center"/>
            </w:pPr>
            <w:r>
              <w:rPr>
                <w:rFonts w:ascii="宋体" w:hAnsi="宋体"/>
              </w:rPr>
              <w:t>工业交换机</w:t>
            </w:r>
          </w:p>
        </w:tc>
        <w:tc>
          <w:tcPr>
            <w:tcW w:type="dxa" w:w="1727"/>
          </w:tcPr>
          <w:p>
            <w:pPr>
              <w:jc w:val="center"/>
            </w:pPr>
            <w:r>
              <w:rPr>
                <w:rFonts w:ascii="宋体" w:hAnsi="宋体"/>
              </w:rPr>
              <w:t>8台</w:t>
            </w:r>
          </w:p>
        </w:tc>
        <w:tc>
          <w:tcPr>
            <w:tcW w:type="dxa" w:w="1727"/>
          </w:tcPr>
          <w:p>
            <w:pPr>
              <w:jc w:val="center"/>
            </w:pPr>
            <w:r>
              <w:rPr>
                <w:rFonts w:ascii="宋体" w:hAnsi="宋体"/>
              </w:rPr>
              <w:t>光纤环网冗余</w:t>
            </w:r>
          </w:p>
        </w:tc>
        <w:tc>
          <w:tcPr>
            <w:tcW w:type="dxa" w:w="1727"/>
          </w:tcPr>
          <w:p>
            <w:pPr>
              <w:jc w:val="center"/>
            </w:pPr>
            <w:r>
              <w:rPr>
                <w:rFonts w:ascii="宋体" w:hAnsi="宋体"/>
              </w:rPr>
              <w:t>192.168.10.x/24</w:t>
            </w:r>
          </w:p>
        </w:tc>
      </w:tr>
      <w:tr>
        <w:tc>
          <w:tcPr>
            <w:tcW w:type="dxa" w:w="1727"/>
          </w:tcPr>
          <w:p>
            <w:pPr>
              <w:jc w:val="center"/>
            </w:pPr>
            <w:r>
              <w:rPr>
                <w:rFonts w:ascii="宋体" w:hAnsi="宋体"/>
              </w:rPr>
              <w:t>汇聚层</w:t>
            </w:r>
          </w:p>
        </w:tc>
        <w:tc>
          <w:tcPr>
            <w:tcW w:type="dxa" w:w="1727"/>
          </w:tcPr>
          <w:p>
            <w:pPr>
              <w:jc w:val="center"/>
            </w:pPr>
            <w:r>
              <w:rPr>
                <w:rFonts w:ascii="宋体" w:hAnsi="宋体"/>
              </w:rPr>
              <w:t>三层交换机</w:t>
            </w:r>
          </w:p>
        </w:tc>
        <w:tc>
          <w:tcPr>
            <w:tcW w:type="dxa" w:w="1727"/>
          </w:tcPr>
          <w:p>
            <w:pPr>
              <w:jc w:val="center"/>
            </w:pPr>
            <w:r>
              <w:rPr>
                <w:rFonts w:ascii="宋体" w:hAnsi="宋体"/>
              </w:rPr>
              <w:t>2台</w:t>
            </w:r>
          </w:p>
        </w:tc>
        <w:tc>
          <w:tcPr>
            <w:tcW w:type="dxa" w:w="1727"/>
          </w:tcPr>
          <w:p>
            <w:pPr>
              <w:jc w:val="center"/>
            </w:pPr>
            <w:r>
              <w:rPr>
                <w:rFonts w:ascii="宋体" w:hAnsi="宋体"/>
              </w:rPr>
              <w:t>双链路上行</w:t>
            </w:r>
          </w:p>
        </w:tc>
        <w:tc>
          <w:tcPr>
            <w:tcW w:type="dxa" w:w="1727"/>
          </w:tcPr>
          <w:p>
            <w:pPr>
              <w:jc w:val="center"/>
            </w:pPr>
            <w:r>
              <w:rPr>
                <w:rFonts w:ascii="宋体" w:hAnsi="宋体"/>
              </w:rPr>
              <w:t>192.168.20.x/24</w:t>
            </w:r>
          </w:p>
        </w:tc>
      </w:tr>
      <w:tr>
        <w:tc>
          <w:tcPr>
            <w:tcW w:type="dxa" w:w="1727"/>
          </w:tcPr>
          <w:p>
            <w:pPr>
              <w:jc w:val="center"/>
            </w:pPr>
            <w:r>
              <w:rPr>
                <w:rFonts w:ascii="宋体" w:hAnsi="宋体"/>
              </w:rPr>
              <w:t>核心层</w:t>
            </w:r>
          </w:p>
        </w:tc>
        <w:tc>
          <w:tcPr>
            <w:tcW w:type="dxa" w:w="1727"/>
          </w:tcPr>
          <w:p>
            <w:pPr>
              <w:jc w:val="center"/>
            </w:pPr>
            <w:r>
              <w:rPr>
                <w:rFonts w:ascii="宋体" w:hAnsi="宋体"/>
              </w:rPr>
              <w:t>核心路由器</w:t>
            </w:r>
          </w:p>
        </w:tc>
        <w:tc>
          <w:tcPr>
            <w:tcW w:type="dxa" w:w="1727"/>
          </w:tcPr>
          <w:p>
            <w:pPr>
              <w:jc w:val="center"/>
            </w:pPr>
            <w:r>
              <w:rPr>
                <w:rFonts w:ascii="宋体" w:hAnsi="宋体"/>
              </w:rPr>
              <w:t>1台</w:t>
            </w:r>
          </w:p>
        </w:tc>
        <w:tc>
          <w:tcPr>
            <w:tcW w:type="dxa" w:w="1727"/>
          </w:tcPr>
          <w:p>
            <w:pPr>
              <w:jc w:val="center"/>
            </w:pPr>
            <w:r>
              <w:rPr>
                <w:rFonts w:ascii="宋体" w:hAnsi="宋体"/>
              </w:rPr>
              <w:t>主备双机热备</w:t>
            </w:r>
          </w:p>
        </w:tc>
        <w:tc>
          <w:tcPr>
            <w:tcW w:type="dxa" w:w="1727"/>
          </w:tcPr>
          <w:p>
            <w:pPr>
              <w:jc w:val="center"/>
            </w:pPr>
            <w:r>
              <w:rPr>
                <w:rFonts w:ascii="宋体" w:hAnsi="宋体"/>
              </w:rPr>
              <w:t>10.10.1.1/24</w:t>
            </w:r>
          </w:p>
        </w:tc>
      </w:tr>
    </w:tbl>
    <w:p>
      <w:pPr>
        <w:pStyle w:val="ListBullet"/>
      </w:pPr>
      <w:r>
        <w:t>终端设备启用DHCP自动获取IP地址，保留静态IP池（192.168.10.100-192.168.10.139）用于关键节点；</w:t>
      </w:r>
    </w:p>
    <w:p>
      <w:pPr>
        <w:pStyle w:val="ListBullet"/>
      </w:pPr>
      <w:r>
        <w:t>启用VLAN划分，将视频流、控制指令与管理数据隔离传输，QoS策略优先保障实时业务；</w:t>
      </w:r>
    </w:p>
    <w:p>
      <w:pPr>
        <w:pStyle w:val="ListBullet"/>
      </w:pPr>
      <w:r>
        <w:t>配置SSL/TLS加密通道，实现设备与服务器间的数据安全传输；</w:t>
      </w:r>
    </w:p>
    <w:p>
      <w:pPr>
        <w:pStyle w:val="ListBullet"/>
      </w:pPr>
      <w:r>
        <w:t>网络延迟≤50ms，丢包率＜0.1%，支持远程在线升级与故障诊断。</w:t>
      </w:r>
    </w:p>
    <w:p>
      <w:r>
        <w:t>三、服务器环境搭建步骤</w:t>
      </w:r>
    </w:p>
    <w:p>
      <w:pPr>
        <w:pStyle w:val="ListNumber"/>
      </w:pPr>
      <w:r>
        <w:t>硬件部署：在数据中心机房部署2台高性能服务器，组成主备集群。配置参数如下：</w:t>
      </w:r>
    </w:p>
    <w:p>
      <w:pPr>
        <w:pStyle w:val="ListBullet"/>
      </w:pPr>
      <w:r>
        <w:t>CPU：Intel Xeon Silver 4310 ×2</w:t>
      </w:r>
    </w:p>
    <w:p>
      <w:pPr>
        <w:pStyle w:val="ListBullet"/>
      </w:pPr>
      <w:r>
        <w:t>内存：DDR4 32GB ×8（共256GB）</w:t>
      </w:r>
    </w:p>
    <w:p>
      <w:pPr>
        <w:pStyle w:val="ListBullet"/>
      </w:pPr>
      <w:r>
        <w:t>存储：RAID 10阵列，总容量20TB（SSD 4TB + HDD 16TB）</w:t>
      </w:r>
    </w:p>
    <w:p>
      <w:pPr>
        <w:pStyle w:val="ListBullet"/>
      </w:pPr>
      <w:r>
        <w:t>网卡：双万兆光口，支持链路聚合</w:t>
      </w:r>
    </w:p>
    <w:p>
      <w:pPr>
        <w:pStyle w:val="ListNumber"/>
      </w:pPr>
      <w:r>
        <w:t>操作系统与中间件安装：</w:t>
      </w:r>
    </w:p>
    <w:p>
      <w:pPr>
        <w:pStyle w:val="ListBullet"/>
      </w:pPr>
      <w:r>
        <w:t>安装CentOS 7.9操作系统，关闭不必要的服务与端口；</w:t>
      </w:r>
    </w:p>
    <w:p>
      <w:pPr>
        <w:pStyle w:val="ListBullet"/>
      </w:pPr>
      <w:r>
        <w:t>部署MySQL 8.0数据库集群，主从同步延迟≤1秒；</w:t>
      </w:r>
    </w:p>
    <w:p>
      <w:pPr>
        <w:pStyle w:val="ListBullet"/>
      </w:pPr>
      <w:r>
        <w:t>安装Redis 6.2缓存服务，提升高频访问响应速度；</w:t>
      </w:r>
    </w:p>
    <w:p>
      <w:pPr>
        <w:pStyle w:val="ListBullet"/>
      </w:pPr>
      <w:r>
        <w:t>配置Nginx反向代理，实现负载均衡与HTTPS卸载。</w:t>
      </w:r>
    </w:p>
    <w:p>
      <w:pPr>
        <w:pStyle w:val="ListNumber"/>
      </w:pPr>
      <w:r>
        <w:t>应用系统部署：</w:t>
      </w:r>
    </w:p>
    <w:p>
      <w:pPr>
        <w:pStyle w:val="ListBullet"/>
      </w:pPr>
      <w:r>
        <w:t>导入统一认证模块，支持LDAP/AD集成；</w:t>
      </w:r>
    </w:p>
    <w:p>
      <w:pPr>
        <w:pStyle w:val="ListBullet"/>
      </w:pPr>
      <w:r>
        <w:t>部署设备管理平台，实现对40个终端的集中监控、状态上报与远程控制；</w:t>
      </w:r>
    </w:p>
    <w:p>
      <w:pPr>
        <w:pStyle w:val="ListBullet"/>
      </w:pPr>
      <w:r>
        <w:t>启用日志审计功能，记录所有操作行为，留存周期≥180天；</w:t>
      </w:r>
    </w:p>
    <w:p>
      <w:pPr>
        <w:pStyle w:val="ListBullet"/>
      </w:pPr>
      <w:r>
        <w:t>设置自动备份策略，每日凌晨执行全量+增量备份，备份数据异地存储。</w:t>
      </w:r>
    </w:p>
    <w:p>
      <w:pPr>
        <w:pStyle w:val="ListNumber"/>
      </w:pPr>
      <w:r>
        <w:t>系统联调与测试：</w:t>
      </w:r>
    </w:p>
    <w:p>
      <w:pPr>
        <w:pStyle w:val="ListBullet"/>
      </w:pPr>
      <w:r>
        <w:t>完成单机测试、压力测试与容灾切换演练；</w:t>
      </w:r>
    </w:p>
    <w:p>
      <w:pPr>
        <w:pStyle w:val="ListBullet"/>
      </w:pPr>
      <w:r>
        <w:t>模拟断网、断电、服务器宕机等异常场景，验证系统恢复能力；</w:t>
      </w:r>
    </w:p>
    <w:p>
      <w:pPr>
        <w:pStyle w:val="ListBullet"/>
      </w:pPr>
      <w:r>
        <w:t>整体部署周期控制在15个工作日内，交付前提供完整的技术文档与培训资料。</w:t>
      </w:r>
    </w:p>
    <w:p>
      <w:r>
        <w:t>本方案严格遵循国家相关标准与行业规范，确保设备安装规范、网络稳定可靠、系统安全高效，全面支撑项目长期稳定运行。</w:t>
      </w:r>
    </w:p>
    <w:p>
      <w:pPr>
        <w:pStyle w:val="Heading1"/>
      </w:pPr>
      <w:r>
        <w:t>系统联调与测试验证</w:t>
      </w:r>
    </w:p>
    <w:p>
      <w:r>
        <w:t>系统联调与测试验证是确保本项目各子系统协同运行、功能完整、性能稳定及安全可靠的关键环节。为全面验证系统建设成果，我方将依据招标文件要求，制定科学严谨的测试方案，涵盖功能测试、压力测试和安全测试三大核心内容，明确各项测试的具体内容、实施方法及验收标准，确保系统满足设计指标与用户需求。</w:t>
      </w:r>
    </w:p>
    <w:p>
      <w:r>
        <w:t>1. 功能测试</w:t>
      </w:r>
    </w:p>
    <w:p>
      <w:r>
        <w:t>功能测试旨在验证系统所有业务流程、操作功能和数据处理逻辑是否符合设计规范和用户需求。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测试项</w:t>
            </w:r>
          </w:p>
        </w:tc>
        <w:tc>
          <w:tcPr>
            <w:tcW w:type="dxa" w:w="2158"/>
          </w:tcPr>
          <w:p>
            <w:pPr>
              <w:jc w:val="center"/>
            </w:pPr>
            <w:r>
              <w:rPr>
                <w:rFonts w:ascii="黑体" w:hAnsi="黑体"/>
                <w:b/>
              </w:rPr>
              <w:t>具体内容</w:t>
            </w:r>
          </w:p>
        </w:tc>
        <w:tc>
          <w:tcPr>
            <w:tcW w:type="dxa" w:w="2158"/>
          </w:tcPr>
          <w:p>
            <w:pPr>
              <w:jc w:val="center"/>
            </w:pPr>
            <w:r>
              <w:rPr>
                <w:rFonts w:ascii="黑体" w:hAnsi="黑体"/>
                <w:b/>
              </w:rPr>
              <w:t>测试方法</w:t>
            </w:r>
          </w:p>
        </w:tc>
        <w:tc>
          <w:tcPr>
            <w:tcW w:type="dxa" w:w="2158"/>
          </w:tcPr>
          <w:p>
            <w:pPr>
              <w:jc w:val="center"/>
            </w:pPr>
            <w:r>
              <w:rPr>
                <w:rFonts w:ascii="黑体" w:hAnsi="黑体"/>
                <w:b/>
              </w:rPr>
              <w:t>验收标准</w:t>
            </w:r>
          </w:p>
        </w:tc>
      </w:tr>
      <w:tr>
        <w:tc>
          <w:tcPr>
            <w:tcW w:type="dxa" w:w="2158"/>
          </w:tcPr>
          <w:p>
            <w:pPr>
              <w:jc w:val="center"/>
            </w:pPr>
            <w:r>
              <w:rPr>
                <w:rFonts w:ascii="宋体" w:hAnsi="宋体"/>
              </w:rPr>
              <w:t>**核心业务流程**</w:t>
            </w:r>
          </w:p>
        </w:tc>
        <w:tc>
          <w:tcPr>
            <w:tcW w:type="dxa" w:w="2158"/>
          </w:tcPr>
          <w:p>
            <w:pPr>
              <w:jc w:val="center"/>
            </w:pPr>
            <w:r>
              <w:rPr>
                <w:rFonts w:ascii="宋体" w:hAnsi="宋体"/>
              </w:rPr>
              <w:t>覆盖用户注册、登录、信息填报、数据提交、审批流转、结果查询等端到端业务流程。</w:t>
            </w:r>
          </w:p>
        </w:tc>
        <w:tc>
          <w:tcPr>
            <w:tcW w:type="dxa" w:w="2158"/>
          </w:tcPr>
          <w:p>
            <w:pPr>
              <w:jc w:val="center"/>
            </w:pPr>
            <w:r>
              <w:rPr>
                <w:rFonts w:ascii="宋体" w:hAnsi="宋体"/>
              </w:rPr>
              <w:t>采用黑盒测试法，模拟真实用户操作场景，使用测试用例驱动。通过自动化测试工具（如Selenium）执行关键路径，并结合手工测试覆盖边界条件和异常流程。</w:t>
            </w:r>
          </w:p>
        </w:tc>
        <w:tc>
          <w:tcPr>
            <w:tcW w:type="dxa" w:w="2158"/>
          </w:tcPr>
          <w:p>
            <w:pPr>
              <w:jc w:val="center"/>
            </w:pPr>
            <w:r>
              <w:rPr>
                <w:rFonts w:ascii="宋体" w:hAnsi="宋体"/>
              </w:rPr>
              <w:t>所有预设的业务流程均能正确、完整地执行，无功能缺失或逻辑错误。系统响应时间在正常范围内，界面显示准确，数据流转无误。测试用例通过率达到100%。</w:t>
            </w:r>
          </w:p>
        </w:tc>
      </w:tr>
      <w:tr>
        <w:tc>
          <w:tcPr>
            <w:tcW w:type="dxa" w:w="2158"/>
          </w:tcPr>
          <w:p>
            <w:pPr>
              <w:jc w:val="center"/>
            </w:pPr>
            <w:r>
              <w:rPr>
                <w:rFonts w:ascii="宋体" w:hAnsi="宋体"/>
              </w:rPr>
              <w:t>**接口功能**</w:t>
            </w:r>
          </w:p>
        </w:tc>
        <w:tc>
          <w:tcPr>
            <w:tcW w:type="dxa" w:w="2158"/>
          </w:tcPr>
          <w:p>
            <w:pPr>
              <w:jc w:val="center"/>
            </w:pPr>
            <w:r>
              <w:rPr>
                <w:rFonts w:ascii="宋体" w:hAnsi="宋体"/>
              </w:rPr>
              <w:t>验证系统内部各模块间以及与外部第三方系统（如身份认证平台、数据共享平台）的API接口。</w:t>
            </w:r>
          </w:p>
        </w:tc>
        <w:tc>
          <w:tcPr>
            <w:tcW w:type="dxa" w:w="2158"/>
          </w:tcPr>
          <w:p>
            <w:pPr>
              <w:jc w:val="center"/>
            </w:pPr>
            <w:r>
              <w:rPr>
                <w:rFonts w:ascii="宋体" w:hAnsi="宋体"/>
              </w:rPr>
              <w:t>使用接口测试工具（如Postman, JMeter），根据接口文档构造请求报文，测试正常输入、边界值和异常输入下的响应。重点检查数据格式、状态码、返回信息及错误处理机制。</w:t>
            </w:r>
          </w:p>
        </w:tc>
        <w:tc>
          <w:tcPr>
            <w:tcW w:type="dxa" w:w="2158"/>
          </w:tcPr>
          <w:p>
            <w:pPr>
              <w:jc w:val="center"/>
            </w:pPr>
            <w:r>
              <w:rPr>
                <w:rFonts w:ascii="宋体" w:hAnsi="宋体"/>
              </w:rPr>
              <w:t>接口能够正确接收和解析请求，返回预期的响应数据。对于有效请求，返回200状态码及正确数据；对于无效请求，返回4xx/5xx状态码及清晰的错误描述。接口性能满足约定要求。</w:t>
            </w:r>
          </w:p>
        </w:tc>
      </w:tr>
      <w:tr>
        <w:tc>
          <w:tcPr>
            <w:tcW w:type="dxa" w:w="2158"/>
          </w:tcPr>
          <w:p>
            <w:pPr>
              <w:jc w:val="center"/>
            </w:pPr>
            <w:r>
              <w:rPr>
                <w:rFonts w:ascii="宋体" w:hAnsi="宋体"/>
              </w:rPr>
              <w:t>**数据完整性与准确性**</w:t>
            </w:r>
          </w:p>
        </w:tc>
        <w:tc>
          <w:tcPr>
            <w:tcW w:type="dxa" w:w="2158"/>
          </w:tcPr>
          <w:p>
            <w:pPr>
              <w:jc w:val="center"/>
            </w:pPr>
            <w:r>
              <w:rPr>
                <w:rFonts w:ascii="宋体" w:hAnsi="宋体"/>
              </w:rPr>
              <w:t>验证数据在录入、存储、传输、计算和展示过程中的完整性和一致性。</w:t>
            </w:r>
          </w:p>
        </w:tc>
        <w:tc>
          <w:tcPr>
            <w:tcW w:type="dxa" w:w="2158"/>
          </w:tcPr>
          <w:p>
            <w:pPr>
              <w:jc w:val="center"/>
            </w:pPr>
            <w:r>
              <w:rPr>
                <w:rFonts w:ascii="宋体" w:hAnsi="宋体"/>
              </w:rPr>
              <w:t>设计包含典型数据、边界值（如最大值、最小值、空值）和特殊字符的测试数据集。通过数据库比对工具，核验前端输入数据与后端数据库存储数据的一致性，以及业务计算结果的准确性。</w:t>
            </w:r>
          </w:p>
        </w:tc>
        <w:tc>
          <w:tcPr>
            <w:tcW w:type="dxa" w:w="2158"/>
          </w:tcPr>
          <w:p>
            <w:pPr>
              <w:jc w:val="center"/>
            </w:pPr>
            <w:r>
              <w:rPr>
                <w:rFonts w:ascii="宋体" w:hAnsi="宋体"/>
              </w:rPr>
              <w:t>数据在系统内流转过程中无丢失、篡改或格式错误。所有计算公式和业务规则执行准确无误。数据备份与恢复功能有效，能保证数据的长期可访问性。</w:t>
            </w:r>
          </w:p>
        </w:tc>
      </w:tr>
      <w:tr>
        <w:tc>
          <w:tcPr>
            <w:tcW w:type="dxa" w:w="2158"/>
          </w:tcPr>
          <w:p>
            <w:pPr>
              <w:jc w:val="center"/>
            </w:pPr>
            <w:r>
              <w:rPr>
                <w:rFonts w:ascii="宋体" w:hAnsi="宋体"/>
              </w:rPr>
              <w:t>**用户权限管理**</w:t>
            </w:r>
          </w:p>
        </w:tc>
        <w:tc>
          <w:tcPr>
            <w:tcW w:type="dxa" w:w="2158"/>
          </w:tcPr>
          <w:p>
            <w:pPr>
              <w:jc w:val="center"/>
            </w:pPr>
            <w:r>
              <w:rPr>
                <w:rFonts w:ascii="宋体" w:hAnsi="宋体"/>
              </w:rPr>
              <w:t>验证不同角色（如管理员、普通用户、审核员）的权限分配与访问控制。</w:t>
            </w:r>
          </w:p>
        </w:tc>
        <w:tc>
          <w:tcPr>
            <w:tcW w:type="dxa" w:w="2158"/>
          </w:tcPr>
          <w:p>
            <w:pPr>
              <w:jc w:val="center"/>
            </w:pPr>
            <w:r>
              <w:rPr>
                <w:rFonts w:ascii="宋体" w:hAnsi="宋体"/>
              </w:rPr>
              <w:t>创建不同角色的测试账号，尝试访问其权限范围内外的功能模块和数据资源。测试越权访问、权限变更后的即时生效情况。</w:t>
            </w:r>
          </w:p>
        </w:tc>
        <w:tc>
          <w:tcPr>
            <w:tcW w:type="dxa" w:w="2158"/>
          </w:tcPr>
          <w:p>
            <w:pPr>
              <w:jc w:val="center"/>
            </w:pPr>
            <w:r>
              <w:rPr>
                <w:rFonts w:ascii="宋体" w:hAnsi="宋体"/>
              </w:rPr>
              <w:t>系统严格遵循最小权限原则，用户只能访问其授权范围内的功能和数据。任何越权操作均被系统拦截并记录日志。权限配置变更后，立即生效且不影响其他用户。</w:t>
            </w:r>
          </w:p>
        </w:tc>
      </w:tr>
    </w:tbl>
    <w:p>
      <w:r>
        <w:t>2. 压力测试</w:t>
      </w:r>
    </w:p>
    <w:p>
      <w:r>
        <w:t>压力测试用于评估系统在高并发、大数据量等极端负载条件下的性能表现和稳定性，识别性能瓶颈。</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测试项</w:t>
            </w:r>
          </w:p>
        </w:tc>
        <w:tc>
          <w:tcPr>
            <w:tcW w:type="dxa" w:w="2158"/>
          </w:tcPr>
          <w:p>
            <w:pPr>
              <w:jc w:val="center"/>
            </w:pPr>
            <w:r>
              <w:rPr>
                <w:rFonts w:ascii="黑体" w:hAnsi="黑体"/>
                <w:b/>
              </w:rPr>
              <w:t>具体内容</w:t>
            </w:r>
          </w:p>
        </w:tc>
        <w:tc>
          <w:tcPr>
            <w:tcW w:type="dxa" w:w="2158"/>
          </w:tcPr>
          <w:p>
            <w:pPr>
              <w:jc w:val="center"/>
            </w:pPr>
            <w:r>
              <w:rPr>
                <w:rFonts w:ascii="黑体" w:hAnsi="黑体"/>
                <w:b/>
              </w:rPr>
              <w:t>测试方法</w:t>
            </w:r>
          </w:p>
        </w:tc>
        <w:tc>
          <w:tcPr>
            <w:tcW w:type="dxa" w:w="2158"/>
          </w:tcPr>
          <w:p>
            <w:pPr>
              <w:jc w:val="center"/>
            </w:pPr>
            <w:r>
              <w:rPr>
                <w:rFonts w:ascii="黑体" w:hAnsi="黑体"/>
                <w:b/>
              </w:rPr>
              <w:t>验收标准</w:t>
            </w:r>
          </w:p>
        </w:tc>
      </w:tr>
      <w:tr>
        <w:tc>
          <w:tcPr>
            <w:tcW w:type="dxa" w:w="2158"/>
          </w:tcPr>
          <w:p>
            <w:pPr>
              <w:jc w:val="center"/>
            </w:pPr>
            <w:r>
              <w:rPr>
                <w:rFonts w:ascii="宋体" w:hAnsi="宋体"/>
              </w:rPr>
              <w:t>**并发用户数**</w:t>
            </w:r>
          </w:p>
        </w:tc>
        <w:tc>
          <w:tcPr>
            <w:tcW w:type="dxa" w:w="2158"/>
          </w:tcPr>
          <w:p>
            <w:pPr>
              <w:jc w:val="center"/>
            </w:pPr>
            <w:r>
              <w:rPr>
                <w:rFonts w:ascii="宋体" w:hAnsi="宋体"/>
              </w:rPr>
              <w:t>模拟大量用户同时在线操作，如同时登录、提交表单、查询数据。</w:t>
            </w:r>
          </w:p>
        </w:tc>
        <w:tc>
          <w:tcPr>
            <w:tcW w:type="dxa" w:w="2158"/>
          </w:tcPr>
          <w:p>
            <w:pPr>
              <w:jc w:val="center"/>
            </w:pPr>
            <w:r>
              <w:rPr>
                <w:rFonts w:ascii="宋体" w:hAnsi="宋体"/>
              </w:rPr>
              <w:t>使用性能测试工具（如JMeter, LoadRunner）创建虚拟用户（VU），逐步增加并发用户数（从50人开始，阶梯式增加至500人以上）。监控系统在不同负载下的响应。</w:t>
            </w:r>
          </w:p>
        </w:tc>
        <w:tc>
          <w:tcPr>
            <w:tcW w:type="dxa" w:w="2158"/>
          </w:tcPr>
          <w:p>
            <w:pPr>
              <w:jc w:val="center"/>
            </w:pPr>
            <w:r>
              <w:rPr>
                <w:rFonts w:ascii="宋体" w:hAnsi="宋体"/>
              </w:rPr>
              <w:t>在峰值并发用户数下，系统平均响应时间不超过3秒，成功率不低于99.9%。系统CPU、内存、磁盘I/O等资源占用率在合理范围内（CPU&lt;80%，内存&lt;85%），无服务崩溃或长时间无响应现象。</w:t>
            </w:r>
          </w:p>
        </w:tc>
      </w:tr>
      <w:tr>
        <w:tc>
          <w:tcPr>
            <w:tcW w:type="dxa" w:w="2158"/>
          </w:tcPr>
          <w:p>
            <w:pPr>
              <w:jc w:val="center"/>
            </w:pPr>
            <w:r>
              <w:rPr>
                <w:rFonts w:ascii="宋体" w:hAnsi="宋体"/>
              </w:rPr>
              <w:t>**交易处理能力**</w:t>
            </w:r>
          </w:p>
        </w:tc>
        <w:tc>
          <w:tcPr>
            <w:tcW w:type="dxa" w:w="2158"/>
          </w:tcPr>
          <w:p>
            <w:pPr>
              <w:jc w:val="center"/>
            </w:pPr>
            <w:r>
              <w:rPr>
                <w:rFonts w:ascii="宋体" w:hAnsi="宋体"/>
              </w:rPr>
              <w:t>测试系统单位时间内能成功处理的事务数量，例如每秒处理的数据提交请求数。</w:t>
            </w:r>
          </w:p>
        </w:tc>
        <w:tc>
          <w:tcPr>
            <w:tcW w:type="dxa" w:w="2158"/>
          </w:tcPr>
          <w:p>
            <w:pPr>
              <w:jc w:val="center"/>
            </w:pPr>
            <w:r>
              <w:rPr>
                <w:rFonts w:ascii="宋体" w:hAnsi="宋体"/>
              </w:rPr>
              <w:t>设计单一或组合的高频交易场景，持续施加压力，测量系统的吞吐量（TPS/QPS）。通过监控工具实时观察应用服务器、数据库服务器的性能指标。</w:t>
            </w:r>
          </w:p>
        </w:tc>
        <w:tc>
          <w:tcPr>
            <w:tcW w:type="dxa" w:w="2158"/>
          </w:tcPr>
          <w:p>
            <w:pPr>
              <w:jc w:val="center"/>
            </w:pPr>
            <w:r>
              <w:rPr>
                <w:rFonts w:ascii="宋体" w:hAnsi="宋体"/>
              </w:rPr>
              <w:t>系统的峰值处理能力达到或超过设计指标（如≥200 TPS）。当负载超过阈值时，系统应具备优雅降级能力，而非直接宕机。</w:t>
            </w:r>
          </w:p>
        </w:tc>
      </w:tr>
      <w:tr>
        <w:tc>
          <w:tcPr>
            <w:tcW w:type="dxa" w:w="2158"/>
          </w:tcPr>
          <w:p>
            <w:pPr>
              <w:jc w:val="center"/>
            </w:pPr>
            <w:r>
              <w:rPr>
                <w:rFonts w:ascii="宋体" w:hAnsi="宋体"/>
              </w:rPr>
              <w:t>**大数据量处理**</w:t>
            </w:r>
          </w:p>
        </w:tc>
        <w:tc>
          <w:tcPr>
            <w:tcW w:type="dxa" w:w="2158"/>
          </w:tcPr>
          <w:p>
            <w:pPr>
              <w:jc w:val="center"/>
            </w:pPr>
            <w:r>
              <w:rPr>
                <w:rFonts w:ascii="宋体" w:hAnsi="宋体"/>
              </w:rPr>
              <w:t>验证系统在处理海量历史数据时的性能，如批量导入、复杂报表生成、全文检索。</w:t>
            </w:r>
          </w:p>
        </w:tc>
        <w:tc>
          <w:tcPr>
            <w:tcW w:type="dxa" w:w="2158"/>
          </w:tcPr>
          <w:p>
            <w:pPr>
              <w:jc w:val="center"/>
            </w:pPr>
            <w:r>
              <w:rPr>
                <w:rFonts w:ascii="宋体" w:hAnsi="宋体"/>
              </w:rPr>
              <w:t>准备远超日常规模的测试数据集（如百万级记录），执行数据导入、导出、查询和统计分析等操作。</w:t>
            </w:r>
          </w:p>
        </w:tc>
        <w:tc>
          <w:tcPr>
            <w:tcW w:type="dxa" w:w="2158"/>
          </w:tcPr>
          <w:p>
            <w:pPr>
              <w:jc w:val="center"/>
            </w:pPr>
            <w:r>
              <w:rPr>
                <w:rFonts w:ascii="宋体" w:hAnsi="宋体"/>
              </w:rPr>
              <w:t>大数据量操作的响应时间在可接受范围内（如导入10万条记录&lt;10分钟，复杂报表生成&lt;1分钟）。数据库查询效率高，索引有效，无长时间锁表或死锁现象。</w:t>
            </w:r>
          </w:p>
        </w:tc>
      </w:tr>
      <w:tr>
        <w:tc>
          <w:tcPr>
            <w:tcW w:type="dxa" w:w="2158"/>
          </w:tcPr>
          <w:p>
            <w:pPr>
              <w:jc w:val="center"/>
            </w:pPr>
            <w:r>
              <w:rPr>
                <w:rFonts w:ascii="宋体" w:hAnsi="宋体"/>
              </w:rPr>
              <w:t>**稳定性与可靠性**</w:t>
            </w:r>
          </w:p>
        </w:tc>
        <w:tc>
          <w:tcPr>
            <w:tcW w:type="dxa" w:w="2158"/>
          </w:tcPr>
          <w:p>
            <w:pPr>
              <w:jc w:val="center"/>
            </w:pPr>
            <w:r>
              <w:rPr>
                <w:rFonts w:ascii="宋体" w:hAnsi="宋体"/>
              </w:rPr>
              <w:t>测试系统在长时间高负载下的持续运行能力。</w:t>
            </w:r>
          </w:p>
        </w:tc>
        <w:tc>
          <w:tcPr>
            <w:tcW w:type="dxa" w:w="2158"/>
          </w:tcPr>
          <w:p>
            <w:pPr>
              <w:jc w:val="center"/>
            </w:pPr>
            <w:r>
              <w:rPr>
                <w:rFonts w:ascii="宋体" w:hAnsi="宋体"/>
              </w:rPr>
              <w:t>进行7×24小时的长稳测试，保持中等偏高负载水平。期间模拟网络波动、服务重启等故障场景。</w:t>
            </w:r>
          </w:p>
        </w:tc>
        <w:tc>
          <w:tcPr>
            <w:tcW w:type="dxa" w:w="2158"/>
          </w:tcPr>
          <w:p>
            <w:pPr>
              <w:jc w:val="center"/>
            </w:pPr>
            <w:r>
              <w:rPr>
                <w:rFonts w:ascii="宋体" w:hAnsi="宋体"/>
              </w:rPr>
              <w:t>系统在整个测试周期内稳定运行，无内存泄漏、连接池耗尽等导致的性能衰减。关键业务可用性达到99.9%以上。故障发生后，系统能在规定时间内自动恢复。</w:t>
            </w:r>
          </w:p>
        </w:tc>
      </w:tr>
    </w:tbl>
    <w:p>
      <w:r>
        <w:t>3. 安全测试</w:t>
      </w:r>
    </w:p>
    <w:p>
      <w:r>
        <w:t>安全测试旨在发现系统潜在的安全漏洞，保障数据和应用的安全。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测试项</w:t>
            </w:r>
          </w:p>
        </w:tc>
        <w:tc>
          <w:tcPr>
            <w:tcW w:type="dxa" w:w="2158"/>
          </w:tcPr>
          <w:p>
            <w:pPr>
              <w:jc w:val="center"/>
            </w:pPr>
            <w:r>
              <w:rPr>
                <w:rFonts w:ascii="黑体" w:hAnsi="黑体"/>
                <w:b/>
              </w:rPr>
              <w:t>具体内容</w:t>
            </w:r>
          </w:p>
        </w:tc>
        <w:tc>
          <w:tcPr>
            <w:tcW w:type="dxa" w:w="2158"/>
          </w:tcPr>
          <w:p>
            <w:pPr>
              <w:jc w:val="center"/>
            </w:pPr>
            <w:r>
              <w:rPr>
                <w:rFonts w:ascii="黑体" w:hAnsi="黑体"/>
                <w:b/>
              </w:rPr>
              <w:t>测试方法</w:t>
            </w:r>
          </w:p>
        </w:tc>
        <w:tc>
          <w:tcPr>
            <w:tcW w:type="dxa" w:w="2158"/>
          </w:tcPr>
          <w:p>
            <w:pPr>
              <w:jc w:val="center"/>
            </w:pPr>
            <w:r>
              <w:rPr>
                <w:rFonts w:ascii="黑体" w:hAnsi="黑体"/>
                <w:b/>
              </w:rPr>
              <w:t>验收标准</w:t>
            </w:r>
          </w:p>
        </w:tc>
      </w:tr>
      <w:tr>
        <w:tc>
          <w:tcPr>
            <w:tcW w:type="dxa" w:w="2158"/>
          </w:tcPr>
          <w:p>
            <w:pPr>
              <w:jc w:val="center"/>
            </w:pPr>
            <w:r>
              <w:rPr>
                <w:rFonts w:ascii="宋体" w:hAnsi="宋体"/>
              </w:rPr>
              <w:t>**漏洞扫描**</w:t>
            </w:r>
          </w:p>
        </w:tc>
        <w:tc>
          <w:tcPr>
            <w:tcW w:type="dxa" w:w="2158"/>
          </w:tcPr>
          <w:p>
            <w:pPr>
              <w:jc w:val="center"/>
            </w:pPr>
            <w:r>
              <w:rPr>
                <w:rFonts w:ascii="宋体" w:hAnsi="宋体"/>
              </w:rPr>
              <w:t>检测常见的Web应用安全漏洞，如SQL注入、跨站脚本（XSS）、跨站请求伪造（CSRF）、文件上传漏洞等。</w:t>
            </w:r>
          </w:p>
        </w:tc>
        <w:tc>
          <w:tcPr>
            <w:tcW w:type="dxa" w:w="2158"/>
          </w:tcPr>
          <w:p>
            <w:pPr>
              <w:jc w:val="center"/>
            </w:pPr>
            <w:r>
              <w:rPr>
                <w:rFonts w:ascii="宋体" w:hAnsi="宋体"/>
              </w:rPr>
              <w:t>使用专业的静态代码扫描工具（SAST）和动态应用安全测试工具（DAST，如Burp Suite, OWASP ZAP）对系统进行全面扫描。</w:t>
            </w:r>
          </w:p>
        </w:tc>
        <w:tc>
          <w:tcPr>
            <w:tcW w:type="dxa" w:w="2158"/>
          </w:tcPr>
          <w:p>
            <w:pPr>
              <w:jc w:val="center"/>
            </w:pPr>
            <w:r>
              <w:rPr>
                <w:rFonts w:ascii="宋体" w:hAnsi="宋体"/>
              </w:rPr>
              <w:t>扫描报告中不存在高危（High/Critical）级别的安全漏洞。所有中低危漏洞均已修复或制定了有效的缓解措施。</w:t>
            </w:r>
          </w:p>
        </w:tc>
      </w:tr>
      <w:tr>
        <w:tc>
          <w:tcPr>
            <w:tcW w:type="dxa" w:w="2158"/>
          </w:tcPr>
          <w:p>
            <w:pPr>
              <w:jc w:val="center"/>
            </w:pPr>
            <w:r>
              <w:rPr>
                <w:rFonts w:ascii="宋体" w:hAnsi="宋体"/>
              </w:rPr>
              <w:t>**身份认证与会话管理**</w:t>
            </w:r>
          </w:p>
        </w:tc>
        <w:tc>
          <w:tcPr>
            <w:tcW w:type="dxa" w:w="2158"/>
          </w:tcPr>
          <w:p>
            <w:pPr>
              <w:jc w:val="center"/>
            </w:pPr>
            <w:r>
              <w:rPr>
                <w:rFonts w:ascii="宋体" w:hAnsi="宋体"/>
              </w:rPr>
              <w:t>验证登录认证强度、密码策略、会话超时和令牌安全。</w:t>
            </w:r>
          </w:p>
        </w:tc>
        <w:tc>
          <w:tcPr>
            <w:tcW w:type="dxa" w:w="2158"/>
          </w:tcPr>
          <w:p>
            <w:pPr>
              <w:jc w:val="center"/>
            </w:pPr>
            <w:r>
              <w:rPr>
                <w:rFonts w:ascii="宋体" w:hAnsi="宋体"/>
              </w:rPr>
              <w:t>尝试弱密码爆破、会话固定、会话劫持等攻击手段。检查密码是否加密存储（如SHA-256+盐值），会话ID是否随机且足够长，会话超时后是否失效。</w:t>
            </w:r>
          </w:p>
        </w:tc>
        <w:tc>
          <w:tcPr>
            <w:tcW w:type="dxa" w:w="2158"/>
          </w:tcPr>
          <w:p>
            <w:pPr>
              <w:jc w:val="center"/>
            </w:pPr>
            <w:r>
              <w:rPr>
                <w:rFonts w:ascii="宋体" w:hAnsi="宋体"/>
              </w:rPr>
              <w:t>系统强制使用强密码策略（长度、复杂度）。会话令牌在每次登录后重新生成，且在用户登出或超时后立即失效。支持多因素认证（MFA）作为可选增强。</w:t>
            </w:r>
          </w:p>
        </w:tc>
      </w:tr>
      <w:tr>
        <w:tc>
          <w:tcPr>
            <w:tcW w:type="dxa" w:w="2158"/>
          </w:tcPr>
          <w:p>
            <w:pPr>
              <w:jc w:val="center"/>
            </w:pPr>
            <w:r>
              <w:rPr>
                <w:rFonts w:ascii="宋体" w:hAnsi="宋体"/>
              </w:rPr>
              <w:t>**数据安全**</w:t>
            </w:r>
          </w:p>
        </w:tc>
        <w:tc>
          <w:tcPr>
            <w:tcW w:type="dxa" w:w="2158"/>
          </w:tcPr>
          <w:p>
            <w:pPr>
              <w:jc w:val="center"/>
            </w:pPr>
            <w:r>
              <w:rPr>
                <w:rFonts w:ascii="宋体" w:hAnsi="宋体"/>
              </w:rPr>
              <w:t>验证敏感数据（如用户隐私、业务数据）在传输和存储过程中的保护措施。</w:t>
            </w:r>
          </w:p>
        </w:tc>
        <w:tc>
          <w:tcPr>
            <w:tcW w:type="dxa" w:w="2158"/>
          </w:tcPr>
          <w:p>
            <w:pPr>
              <w:jc w:val="center"/>
            </w:pPr>
            <w:r>
              <w:rPr>
                <w:rFonts w:ascii="宋体" w:hAnsi="宋体"/>
              </w:rPr>
              <w:t>检查数据传输是否全程使用HTTPS加密。通过数据库审计工具确认敏感字段是否进行了脱敏或加密存储。</w:t>
            </w:r>
          </w:p>
        </w:tc>
        <w:tc>
          <w:tcPr>
            <w:tcW w:type="dxa" w:w="2158"/>
          </w:tcPr>
          <w:p>
            <w:pPr>
              <w:jc w:val="center"/>
            </w:pPr>
            <w:r>
              <w:rPr>
                <w:rFonts w:ascii="宋体" w:hAnsi="宋体"/>
              </w:rPr>
              <w:t>所有涉及用户凭证和敏感信息的通信必须通过SSL/TLS加密。数据库中存储的敏感信息已进行加密处理，即使数据库被非法访问，也无法直接读取明文。</w:t>
            </w:r>
          </w:p>
        </w:tc>
      </w:tr>
      <w:tr>
        <w:tc>
          <w:tcPr>
            <w:tcW w:type="dxa" w:w="2158"/>
          </w:tcPr>
          <w:p>
            <w:pPr>
              <w:jc w:val="center"/>
            </w:pPr>
            <w:r>
              <w:rPr>
                <w:rFonts w:ascii="宋体" w:hAnsi="宋体"/>
              </w:rPr>
              <w:t>**安全审计**</w:t>
            </w:r>
          </w:p>
        </w:tc>
        <w:tc>
          <w:tcPr>
            <w:tcW w:type="dxa" w:w="2158"/>
          </w:tcPr>
          <w:p>
            <w:pPr>
              <w:jc w:val="center"/>
            </w:pPr>
            <w:r>
              <w:rPr>
                <w:rFonts w:ascii="宋体" w:hAnsi="宋体"/>
              </w:rPr>
              <w:t>验证系统是否具备完整的操作日志记录和审计追踪能力。</w:t>
            </w:r>
          </w:p>
        </w:tc>
        <w:tc>
          <w:tcPr>
            <w:tcW w:type="dxa" w:w="2158"/>
          </w:tcPr>
          <w:p>
            <w:pPr>
              <w:jc w:val="center"/>
            </w:pPr>
            <w:r>
              <w:rPr>
                <w:rFonts w:ascii="宋体" w:hAnsi="宋体"/>
              </w:rPr>
              <w:t>检查系统是否记录了关键操作（如登录、登出、数据修改、权限变更）的时间、用户、IP地址和操作详情。测试日志的防篡改性和可追溯性。</w:t>
            </w:r>
          </w:p>
        </w:tc>
        <w:tc>
          <w:tcPr>
            <w:tcW w:type="dxa" w:w="2158"/>
          </w:tcPr>
          <w:p>
            <w:pPr>
              <w:jc w:val="center"/>
            </w:pPr>
            <w:r>
              <w:rPr>
                <w:rFonts w:ascii="宋体" w:hAnsi="宋体"/>
              </w:rPr>
              <w:t>系统提供完备的日志记录功能，日志信息完整、准确，且不可被普通用户篡改。支持按多种条件查询和导出审计日志，满足合规性要求。</w:t>
            </w:r>
          </w:p>
        </w:tc>
      </w:tr>
    </w:tbl>
    <w:p>
      <w:r>
        <w:t>综上所述，我方将严格执行上述测试计划，确保系统在交付前经过充分验证，各项指标均满足或优于招标文件要求，为用户提供一个功能完善、性能卓越、安全可靠的系统环境。</w:t>
      </w:r>
    </w:p>
    <w:p>
      <w:pPr>
        <w:pStyle w:val="Heading1"/>
      </w:pPr>
      <w:r>
        <w:t>重要会议保障服务安排</w:t>
      </w:r>
    </w:p>
    <w:p>
      <w:r>
        <w:t>为确保重大会议的顺利召开与高效运行，我方郑重承诺在服务期内提供不少于5次重大会议现场驻场保障服务。所有保障工作将严格遵循“预防为主、快速响应、协同处置”的原则，确保会议期间信息系统稳定、网络畅通、设备正常运行及突发事件及时处理。</w:t>
      </w:r>
    </w:p>
    <w:p>
      <w:r>
        <w:t>一、人员配备方案</w:t>
      </w:r>
    </w:p>
    <w:p>
      <w:r>
        <w:t>针对每次重大会议，我方将组建专业化现场保障团队，实行“1+3+N”人员配置模式：</w:t>
      </w:r>
    </w:p>
    <w:p>
      <w:pPr>
        <w:pStyle w:val="ListBullet"/>
      </w:pPr>
      <w:r>
        <w:t>1名项目经理：全面统筹现场保障工作，负责与客户方对接协调、资源调度及应急指挥；</w:t>
      </w:r>
    </w:p>
    <w:p>
      <w:pPr>
        <w:pStyle w:val="ListBullet"/>
      </w:pPr>
      <w:r>
        <w:t>3类专业技术支持人员：包括网络工程师（2人）、系统运维工程师（2人）、音视频技术支持工程师（2人），分别负责网络链路监控、服务器及应用系统巡检、会议音视频设备调试与保障；</w:t>
      </w:r>
    </w:p>
    <w:p>
      <w:pPr>
        <w:pStyle w:val="ListBullet"/>
      </w:pPr>
      <w:r>
        <w:t>N名机动支援人员：根据会议规模及技术复杂度动态增派，确保关键节点冗余备份。</w:t>
      </w:r>
    </w:p>
    <w:p>
      <w:r>
        <w:t>所有驻场人员均具备三年以上相关项目经验，持有行业认证资质（如CCNP、RHCE、PMP等），并已完成保密培训与应急演练，确保能够独立应对各类技术挑战。</w:t>
      </w:r>
    </w:p>
    <w:p>
      <w:r>
        <w:t>二、应急预案体系</w:t>
      </w:r>
    </w:p>
    <w:p>
      <w:r>
        <w:t>我方建立三级应急响应机制，覆盖事前预防、事中处置与事后复盘全流程：</w:t>
      </w:r>
    </w:p>
    <w:p>
      <w:pPr>
        <w:pStyle w:val="ListNumber"/>
      </w:pPr>
      <w:r>
        <w:t>风险预判与预防措施：</w:t>
      </w:r>
    </w:p>
    <w:p>
      <w:pPr>
        <w:pStyle w:val="ListBullet"/>
      </w:pPr>
      <w:r>
        <w:t>会前7日完成全面系统健康检查，出具《系统稳定性评估报告》；</w:t>
      </w:r>
    </w:p>
    <w:p>
      <w:pPr>
        <w:pStyle w:val="ListBullet"/>
      </w:pPr>
      <w:r>
        <w:t>针对核心系统部署双机热备或集群架构，关键链路实现双线路冗余；</w:t>
      </w:r>
    </w:p>
    <w:p>
      <w:pPr>
        <w:pStyle w:val="ListBullet"/>
      </w:pPr>
      <w:r>
        <w:t>提前部署备用设备（含备用服务器、交换机、无线AP、UPS电源等）于现场待命。</w:t>
      </w:r>
    </w:p>
    <w:p>
      <w:pPr>
        <w:pStyle w:val="ListNumber"/>
      </w:pPr>
      <w:r>
        <w:t>突发事件分级响应机制：</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故障等级</w:t>
            </w:r>
          </w:p>
        </w:tc>
        <w:tc>
          <w:tcPr>
            <w:tcW w:type="dxa" w:w="1727"/>
          </w:tcPr>
          <w:p>
            <w:pPr>
              <w:jc w:val="center"/>
            </w:pPr>
            <w:r>
              <w:rPr>
                <w:rFonts w:ascii="黑体" w:hAnsi="黑体"/>
                <w:b/>
              </w:rPr>
              <w:t>判定标准</w:t>
            </w:r>
          </w:p>
        </w:tc>
        <w:tc>
          <w:tcPr>
            <w:tcW w:type="dxa" w:w="1727"/>
          </w:tcPr>
          <w:p>
            <w:pPr>
              <w:jc w:val="center"/>
            </w:pPr>
            <w:r>
              <w:rPr>
                <w:rFonts w:ascii="黑体" w:hAnsi="黑体"/>
                <w:b/>
              </w:rPr>
              <w:t>响应时限</w:t>
            </w:r>
          </w:p>
        </w:tc>
        <w:tc>
          <w:tcPr>
            <w:tcW w:type="dxa" w:w="1727"/>
          </w:tcPr>
          <w:p>
            <w:pPr>
              <w:jc w:val="center"/>
            </w:pPr>
            <w:r>
              <w:rPr>
                <w:rFonts w:ascii="黑体" w:hAnsi="黑体"/>
                <w:b/>
              </w:rPr>
              <w:t>处置流程</w:t>
            </w:r>
          </w:p>
        </w:tc>
        <w:tc>
          <w:tcPr>
            <w:tcW w:type="dxa" w:w="1727"/>
          </w:tcPr>
          <w:p>
            <w:pPr>
              <w:jc w:val="center"/>
            </w:pPr>
            <w:r>
              <w:rPr>
                <w:rFonts w:ascii="黑体" w:hAnsi="黑体"/>
                <w:b/>
              </w:rPr>
            </w:r>
          </w:p>
        </w:tc>
      </w:tr>
      <w:tr>
        <w:tc>
          <w:tcPr>
            <w:tcW w:type="dxa" w:w="1727"/>
          </w:tcPr>
          <w:p>
            <w:pPr>
              <w:jc w:val="center"/>
            </w:pPr>
            <w:r>
              <w:rPr>
                <w:rFonts w:ascii="宋体" w:hAnsi="宋体"/>
              </w:rPr>
            </w:r>
          </w:p>
        </w:tc>
        <w:tc>
          <w:tcPr>
            <w:tcW w:type="dxa" w:w="1727"/>
          </w:tcPr>
          <w:p>
            <w:pPr>
              <w:jc w:val="center"/>
            </w:pPr>
            <w:r>
              <w:rPr>
                <w:rFonts w:ascii="宋体" w:hAnsi="宋体"/>
              </w:rPr>
              <w:t>三级（一般故障）</w:t>
            </w:r>
          </w:p>
        </w:tc>
        <w:tc>
          <w:tcPr>
            <w:tcW w:type="dxa" w:w="1727"/>
          </w:tcPr>
          <w:p>
            <w:pPr>
              <w:jc w:val="center"/>
            </w:pPr>
            <w:r>
              <w:rPr>
                <w:rFonts w:ascii="宋体" w:hAnsi="宋体"/>
              </w:rPr>
              <w:t>非关键设备或功能异常，不影响整体会议运行</w:t>
            </w:r>
          </w:p>
        </w:tc>
        <w:tc>
          <w:tcPr>
            <w:tcW w:type="dxa" w:w="1727"/>
          </w:tcPr>
          <w:p>
            <w:pPr>
              <w:jc w:val="center"/>
            </w:pPr>
            <w:r>
              <w:rPr>
                <w:rFonts w:ascii="宋体" w:hAnsi="宋体"/>
              </w:rPr>
              <w:t>≤30分钟</w:t>
            </w:r>
          </w:p>
        </w:tc>
        <w:tc>
          <w:tcPr>
            <w:tcW w:type="dxa" w:w="1727"/>
          </w:tcPr>
          <w:p>
            <w:pPr>
              <w:jc w:val="center"/>
            </w:pPr>
            <w:r>
              <w:rPr>
                <w:rFonts w:ascii="宋体" w:hAnsi="宋体"/>
              </w:rPr>
              <w:t>记录问题并安排后续优化，不影响会议进程</w:t>
            </w:r>
          </w:p>
        </w:tc>
      </w:tr>
    </w:tbl>
    <w:p>
      <w:pPr>
        <w:pStyle w:val="ListNumber"/>
      </w:pPr>
      <w:r>
        <w:t>应急演练与联动机制：</w:t>
      </w:r>
    </w:p>
    <w:p>
      <w:r>
        <w:t>每次重大会议前组织不少于1次全要素模拟演练，涵盖网络切换、设备替换、数据恢复等场景，并邀请客户方参与验证，确保各方职责清晰、流程顺畅。</w:t>
      </w:r>
    </w:p>
    <w:p>
      <w:r>
        <w:t>三、响应机制与服务承诺</w:t>
      </w:r>
    </w:p>
    <w:p>
      <w:pPr>
        <w:pStyle w:val="ListBullet"/>
      </w:pPr>
      <w:r>
        <w:t>驻场时间安排：保障团队将于会议开始前12小时进驻现场，完成最终环境确认与设备预热；会议结束后持续值守2小时，确保无遗留问题。</w:t>
      </w:r>
    </w:p>
    <w:p>
      <w:pPr>
        <w:pStyle w:val="ListBullet"/>
      </w:pPr>
      <w:r>
        <w:t>实时监控与报告：部署统一监控平台，对网络流量、服务器负载、应用状态进行7×24小时可视化监控，每30分钟生成一次运行简报供客户查阅。</w:t>
      </w:r>
    </w:p>
    <w:p>
      <w:pPr>
        <w:pStyle w:val="ListBullet"/>
      </w:pPr>
      <w:r>
        <w:t>服务闭环管理：建立《会议保障日志》，详细记录各环节操作与事件处理过程，会议结束后5个工作日内提交《保障总结报告》，包含问题分析、改进建议及优化方案。</w:t>
      </w:r>
    </w:p>
    <w:p>
      <w:r>
        <w:t>我方将以高度的责任感和专业能力，全力保障重大会议的技术支撑工作，确保每一次会议安全、稳定、高效举行。</w:t>
      </w:r>
    </w:p>
    <w:p>
      <w:pPr>
        <w:pStyle w:val="Heading1"/>
      </w:pPr>
      <w:r>
        <w:t>用户培训计划</w:t>
      </w:r>
    </w:p>
    <w:p>
      <w:r>
        <w:t>为确保系统用户能够高效、规范地使用会议管理系统，提升整体操作水平与应用效果，我方将根据用户角色的不同，制定科学、系统的培训计划。本培训计划面向两类核心用户群体：系统管理员与普通参会人员。针对不同角色的操作权限、功能需求及使用场景，分别设计具有针对性的课程内容、合理的时间安排以及有效的考核方式，确保培训成果可量化、可追溯。</w:t>
      </w:r>
    </w:p>
    <w:p>
      <w:r>
        <w:t>一、培训目标</w:t>
      </w:r>
    </w:p>
    <w:p>
      <w:r>
        <w:t>本次培训旨在使管理员全面掌握系统的配置管理、权限分配、数据维护与应急处理能力，具备独立运维系统的专业素养；同时使普通参会人员熟练掌握会议报名、日程查看、在线签到、资料下载等常用功能，提升用户体验与参与效率。通过分层分类培训，实现“全员会用、关键岗位精通”的总体目标。</w:t>
      </w:r>
    </w:p>
    <w:p>
      <w:r>
        <w:t>二、培训对象与课程设置</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用户类型</w:t>
            </w:r>
          </w:p>
        </w:tc>
        <w:tc>
          <w:tcPr>
            <w:tcW w:type="dxa" w:w="2158"/>
          </w:tcPr>
          <w:p>
            <w:pPr>
              <w:jc w:val="center"/>
            </w:pPr>
            <w:r>
              <w:rPr>
                <w:rFonts w:ascii="黑体" w:hAnsi="黑体"/>
                <w:b/>
              </w:rPr>
              <w:t>培训课程名称</w:t>
            </w:r>
          </w:p>
        </w:tc>
        <w:tc>
          <w:tcPr>
            <w:tcW w:type="dxa" w:w="2158"/>
          </w:tcPr>
          <w:p>
            <w:pPr>
              <w:jc w:val="center"/>
            </w:pPr>
            <w:r>
              <w:rPr>
                <w:rFonts w:ascii="黑体" w:hAnsi="黑体"/>
                <w:b/>
              </w:rPr>
              <w:t>培训时长</w:t>
            </w:r>
          </w:p>
        </w:tc>
        <w:tc>
          <w:tcPr>
            <w:tcW w:type="dxa" w:w="2158"/>
          </w:tcPr>
          <w:p>
            <w:pPr>
              <w:jc w:val="center"/>
            </w:pPr>
            <w:r>
              <w:rPr>
                <w:rFonts w:ascii="黑体" w:hAnsi="黑体"/>
                <w:b/>
              </w:rPr>
              <w:t>主要内容</w:t>
            </w:r>
          </w:p>
        </w:tc>
      </w:tr>
      <w:tr>
        <w:tc>
          <w:tcPr>
            <w:tcW w:type="dxa" w:w="2158"/>
          </w:tcPr>
          <w:p>
            <w:pPr>
              <w:jc w:val="center"/>
            </w:pPr>
            <w:r>
              <w:rPr>
                <w:rFonts w:ascii="宋体" w:hAnsi="宋体"/>
              </w:rPr>
              <w:t>系统管理员</w:t>
            </w:r>
          </w:p>
        </w:tc>
        <w:tc>
          <w:tcPr>
            <w:tcW w:type="dxa" w:w="2158"/>
          </w:tcPr>
          <w:p>
            <w:pPr>
              <w:jc w:val="center"/>
            </w:pPr>
            <w:r>
              <w:rPr>
                <w:rFonts w:ascii="宋体" w:hAnsi="宋体"/>
              </w:rPr>
              <w:t>《会议管理系统高级管理实务》</w:t>
            </w:r>
          </w:p>
        </w:tc>
        <w:tc>
          <w:tcPr>
            <w:tcW w:type="dxa" w:w="2158"/>
          </w:tcPr>
          <w:p>
            <w:pPr>
              <w:jc w:val="center"/>
            </w:pPr>
            <w:r>
              <w:rPr>
                <w:rFonts w:ascii="宋体" w:hAnsi="宋体"/>
              </w:rPr>
              <w:t>8课时（1天）</w:t>
            </w:r>
          </w:p>
        </w:tc>
        <w:tc>
          <w:tcPr>
            <w:tcW w:type="dxa" w:w="2158"/>
          </w:tcPr>
          <w:p>
            <w:pPr>
              <w:jc w:val="center"/>
            </w:pPr>
            <w:r>
              <w:rPr>
                <w:rFonts w:ascii="宋体" w:hAnsi="宋体"/>
              </w:rPr>
              <w:t>系统架构与部署原理、用户权限分级管理、会议模板配置、数据备份与恢复机制、日志审计与安全策略、常见故障排查与技术支持流程</w:t>
            </w:r>
          </w:p>
        </w:tc>
      </w:tr>
      <w:tr>
        <w:tc>
          <w:tcPr>
            <w:tcW w:type="dxa" w:w="2158"/>
          </w:tcPr>
          <w:p>
            <w:pPr>
              <w:jc w:val="center"/>
            </w:pPr>
            <w:r>
              <w:rPr>
                <w:rFonts w:ascii="宋体" w:hAnsi="宋体"/>
              </w:rPr>
              <w:t>普通参会人员</w:t>
            </w:r>
          </w:p>
        </w:tc>
        <w:tc>
          <w:tcPr>
            <w:tcW w:type="dxa" w:w="2158"/>
          </w:tcPr>
          <w:p>
            <w:pPr>
              <w:jc w:val="center"/>
            </w:pPr>
            <w:r>
              <w:rPr>
                <w:rFonts w:ascii="宋体" w:hAnsi="宋体"/>
              </w:rPr>
              <w:t>《会议系统基础操作指南》</w:t>
            </w:r>
          </w:p>
        </w:tc>
        <w:tc>
          <w:tcPr>
            <w:tcW w:type="dxa" w:w="2158"/>
          </w:tcPr>
          <w:p>
            <w:pPr>
              <w:jc w:val="center"/>
            </w:pPr>
            <w:r>
              <w:rPr>
                <w:rFonts w:ascii="宋体" w:hAnsi="宋体"/>
              </w:rPr>
              <w:t>4课时（半天）</w:t>
            </w:r>
          </w:p>
        </w:tc>
        <w:tc>
          <w:tcPr>
            <w:tcW w:type="dxa" w:w="2158"/>
          </w:tcPr>
          <w:p>
            <w:pPr>
              <w:jc w:val="center"/>
            </w:pPr>
            <w:r>
              <w:rPr>
                <w:rFonts w:ascii="宋体" w:hAnsi="宋体"/>
              </w:rPr>
              <w:t>账号注册与登录、会议信息浏览与报名、电子签到流程、会议资料查阅与下载、移动端操作说明、常见问题自助解决</w:t>
            </w:r>
          </w:p>
        </w:tc>
      </w:tr>
    </w:tbl>
    <w:p>
      <w:r>
        <w:t>三、培训时间安排</w:t>
      </w:r>
    </w:p>
    <w:p>
      <w:r>
        <w:t>培训工作将在系统上线前两周启动，采用“集中授课+实操演练”相结合的方式开展，具体安排如下：</w:t>
      </w:r>
    </w:p>
    <w:p>
      <w:pPr>
        <w:pStyle w:val="ListBullet"/>
      </w:pPr>
      <w:r>
        <w:t>第一阶段：管理员培训</w:t>
      </w:r>
    </w:p>
    <w:p>
      <w:r>
        <w:t>时间：系统上线前第13天至第12天（共2天）</w:t>
      </w:r>
    </w:p>
    <w:p>
      <w:r>
        <w:t>形式：线下集中培训 + 远程录播课程</w:t>
      </w:r>
    </w:p>
    <w:p>
      <w:r>
        <w:t>地点：客户单位会议室或指定培训场所</w:t>
      </w:r>
    </w:p>
    <w:p>
      <w:r>
        <w:t>备注：每场培训人数控制在20人以内，确保互动质量。</w:t>
      </w:r>
    </w:p>
    <w:p>
      <w:pPr>
        <w:pStyle w:val="ListBullet"/>
      </w:pPr>
      <w:r>
        <w:t>第二阶段：普通参会人员培训</w:t>
      </w:r>
    </w:p>
    <w:p>
      <w:r>
        <w:t>时间：系统上线前第10天至第7天（分批次进行）</w:t>
      </w:r>
    </w:p>
    <w:p>
      <w:r>
        <w:t>形式：线上直播培训 + 自主学习平台支持</w:t>
      </w:r>
    </w:p>
    <w:p>
      <w:r>
        <w:t>平台：通过企业微信/钉钉群组织直播，并提供回看视频与操作手册</w:t>
      </w:r>
    </w:p>
    <w:p>
      <w:r>
        <w:t>安排：按部门或会议组别分批开展，每场不超过50人，保障答疑效果。</w:t>
      </w:r>
    </w:p>
    <w:p>
      <w:r>
        <w:t>四、培训方式与资源支持</w:t>
      </w:r>
    </w:p>
    <w:p>
      <w:pPr>
        <w:pStyle w:val="ListNumber"/>
      </w:pPr>
      <w:r>
        <w:t>理论讲解：由资深实施工程师进行功能模块解析，结合PPT演示与流程图解，帮助学员建立系统认知。</w:t>
      </w:r>
    </w:p>
    <w:p>
      <w:pPr>
        <w:pStyle w:val="ListNumber"/>
      </w:pPr>
      <w:r>
        <w:t>实操演练：提供测试环境账号，引导学员动手完成典型业务流程操作，如管理员创建新会议、设置权限；参会人员完成报名与签到模拟。</w:t>
      </w:r>
    </w:p>
    <w:p>
      <w:pPr>
        <w:pStyle w:val="ListNumber"/>
      </w:pPr>
      <w:r>
        <w:t>资料配套：发放《管理员操作手册》《用户快速入门指南》电子版与纸质版，包含截图示例、快捷键说明及FAQ汇总。</w:t>
      </w:r>
    </w:p>
    <w:p>
      <w:pPr>
        <w:pStyle w:val="ListNumber"/>
      </w:pPr>
      <w:r>
        <w:t>后续支持：设立专项服务邮箱与微信群，提供为期一个月的跟踪辅导，解答实际使用中的问题。</w:t>
      </w:r>
    </w:p>
    <w:p>
      <w:r>
        <w:t>五、考核方式与效果评估</w:t>
      </w:r>
    </w:p>
    <w:p>
      <w:r>
        <w:t>为检验培训成效，确保知识转化落地，设置以下考核机制：</w:t>
      </w:r>
    </w:p>
    <w:p>
      <w:pPr>
        <w:pStyle w:val="ListBullet"/>
      </w:pPr>
      <w:r>
        <w:t>管理员考核：</w:t>
      </w:r>
    </w:p>
    <w:p>
      <w:r>
        <w:t>采取“笔试+实操”双项评估。笔试涵盖系统原理与安全管理知识（占比40%），实操部分要求在规定时间内独立完成会议创建、权限配置与数据导出任务（占比60%）。总分达85分以上视为合格，不合格者安排补训与二次考核。</w:t>
      </w:r>
    </w:p>
    <w:p>
      <w:pPr>
        <w:pStyle w:val="ListBullet"/>
      </w:pPr>
      <w:r>
        <w:t>普通参会人员考核：</w:t>
      </w:r>
    </w:p>
    <w:p>
      <w:r>
        <w:t>采用线上问卷与任务打卡结合方式。培训结束后推送包含10道选择题的在线测试（满分100分，60分合格），并要求在测试环境中完成一次完整报名与签到流程作为任务验证。达标率纳入各部门信息化应用评价指标。</w:t>
      </w:r>
    </w:p>
    <w:p>
      <w:r>
        <w:t>所有参训人员考核结果将形成《培训成效评估报告》，提交客户方备案，并作为后期优化培训体系的重要依据。我方承诺培训覆盖率不低于95%，合格率达到90%以上，全力保障系统顺利推广与稳定运行。</w:t>
      </w:r>
    </w:p>
    <w:p>
      <w:pPr>
        <w:pStyle w:val="Heading1"/>
      </w:pPr>
      <w:r>
        <w:t>试运行与正式交付</w:t>
      </w:r>
    </w:p>
    <w:p>
      <w:r>
        <w:t>试运行与正式交付</w:t>
      </w:r>
    </w:p>
    <w:p>
      <w:r>
        <w:t>本项目在系统部署、集成及初步调试完成后，将进入为期30天的试运行阶段。试运行期间，系统将在实际业务环境中持续运行，全面验证其稳定性、安全性、兼容性及功能完整性。试运行周期自双方签署《系统上线确认书》之日起计算，期间我方将派驻专业技术团队提供7×24小时现场或远程支持服务，确保系统平稳运行并及时响应各类突发情况。</w:t>
      </w:r>
    </w:p>
    <w:p>
      <w:r>
        <w:t>为保障问题反馈的高效性与可追溯性，我方建立多渠道、多层次的问题收集与反馈机制。用户可通过以下方式提交问题：（1）专属运维服务热线；（2）项目管理平台在线工单系统；（3）定期召开的试运行周例会现场反馈；（4）指定对接人邮箱及即时通讯工具。所有问题将统一录入“问题跟踪管理系统”（Issue Tracking System, ITS），系统自动分配唯一编号，记录问题类型、发现时间、影响范围、优先级、责任人及处理状态等关键信息，实现全过程留痕与闭环管理。</w:t>
      </w:r>
    </w:p>
    <w:p>
      <w:r>
        <w:t>针对试运行期间发现的问题，我方严格执行“分类响应、分级处理、限时闭环”的整改流程。问题按严重程度分为四级：一级（致命故障，系统瘫痪）、二级（严重缺陷，核心功能失效）、三级（一般问题，非核心功能异常）、四级（建议优化，用户体验提升）。响应时限分别为：一级问题15分钟内响应，2小时内解决；二级问题30分钟内响应，4小时内解决；三级问题2小时内响应，24小时内解决；四级问题48小时内响应，7个工作日内完成评估与优化方案确认。每次问题处理后，需提交《问题分析与整改报告》，包括根本原因分析、修复措施、验证结果及预防建议，并由客户方确认闭环。</w:t>
      </w:r>
    </w:p>
    <w:p>
      <w:r>
        <w:t>试运行结束后，我方将汇总试运行期间所有问题处理记录、系统运行日志、性能监测报告及用户使用反馈，编制《试运行总结报告》。在此基础上，双方共同组织最终验收工作。正式交付需满足以下全部条件：（1）系统连续稳定运行30天，无一级、二级故障发生；（2）所有三级及以上问题均已整改并通过复测验证；（4）系统功能、性能指标完全符合招标文件及合同约定的技术规范要求；（5）客户方对系统操作、维护培训效果满意，并签署培训确认单；（6）全套技术文档（含系统架构图、数据库设计说明书、API接口文档、运维手册、应急预案等）已完整移交并通过审核。验收通过后，双方签署《项目终验合格证书》，系统正式进入质保期，我方即完成全部交付义务。</w:t>
      </w:r>
    </w:p>
    <w:p>
      <w:pPr>
        <w:pStyle w:val="Heading1"/>
      </w:pPr>
      <w:r>
        <w:t>7×24小时响应机制</w:t>
      </w:r>
    </w:p>
    <w:p>
      <w:r>
        <w:t>为确保系统稳定运行及故障问题能够得到及时有效处理，我方郑重承诺建立7×24小时全天候技术支持响应机制，全面保障用户在任何时间、任何地点发生技术问题时均可获得快速响应与专业支持。本机制涵盖技术支持热线设立、人员值班安排、故障分级响应流程、远程与现场处置联动体系以及服务监督与持续改进等关键环节，形成闭环式运维服务体系。</w:t>
      </w:r>
    </w:p>
    <w:p>
      <w:r>
        <w:t>我方设立专用技术支持热线电话：400-888-9999，该热线全年无休，每日24小时均有专职技术人员值守接听。热线系统采用双线路冗余设计，并接入运营商主备双通道，确保通信链路高可用性。当用户拨打热线后，系统将在15秒内自动接通并由智能语音导航系统引导用户选择服务类别（如系统故障、性能异常、操作咨询等），同时将通话实时转接至对应专业技术支持工程师。对于紧急故障申报，系统将自动触发红色告警，并同步推送短信与APP通知至三级责任人（一线工程师、二线专家、项目经理），确保信息传递零延迟。</w:t>
      </w:r>
    </w:p>
    <w:p>
      <w:r>
        <w:t>为实现高效响应，我方建立三级技术支持团队轮班制度。第一级为一线技术支持团队，由8名经过专业认证的技术工程师组成，实行“四班三运转”排班模式，每班次2人，确保每时段均有至少2名工程师在线值守。一线团队负责接收用户报障、初步诊断问题、记录工单并启动应急流程。第二级为二线专家支持团队，由各技术领域资深工程师（网络、数据库、应用系统、安全等）共12人组成，实行“常备+轮值”机制，可在接到通知后30分钟内远程接入系统进行深度排查与处理。第三级为三线研发支持团队，针对复杂疑难问题，由原厂研发工程师提供底层代码级支持，确保根本性问题得以解决。</w:t>
      </w:r>
    </w:p>
    <w:p>
      <w:r>
        <w:t>在故障响应时效方面，我方根据故障影响程度实施四级分类响应机制：</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故障等级</w:t>
            </w:r>
          </w:p>
        </w:tc>
        <w:tc>
          <w:tcPr>
            <w:tcW w:type="dxa" w:w="1727"/>
          </w:tcPr>
          <w:p>
            <w:pPr>
              <w:jc w:val="center"/>
            </w:pPr>
            <w:r>
              <w:rPr>
                <w:rFonts w:ascii="黑体" w:hAnsi="黑体"/>
                <w:b/>
              </w:rPr>
              <w:t>定义</w:t>
            </w:r>
          </w:p>
        </w:tc>
        <w:tc>
          <w:tcPr>
            <w:tcW w:type="dxa" w:w="1727"/>
          </w:tcPr>
          <w:p>
            <w:pPr>
              <w:jc w:val="center"/>
            </w:pPr>
            <w:r>
              <w:rPr>
                <w:rFonts w:ascii="黑体" w:hAnsi="黑体"/>
                <w:b/>
              </w:rPr>
              <w:t>响应时限</w:t>
            </w:r>
          </w:p>
        </w:tc>
        <w:tc>
          <w:tcPr>
            <w:tcW w:type="dxa" w:w="1727"/>
          </w:tcPr>
          <w:p>
            <w:pPr>
              <w:jc w:val="center"/>
            </w:pPr>
            <w:r>
              <w:rPr>
                <w:rFonts w:ascii="黑体" w:hAnsi="黑体"/>
                <w:b/>
              </w:rPr>
              <w:t>处理时限</w:t>
            </w:r>
          </w:p>
        </w:tc>
        <w:tc>
          <w:tcPr>
            <w:tcW w:type="dxa" w:w="1727"/>
          </w:tcPr>
          <w:p>
            <w:pPr>
              <w:jc w:val="center"/>
            </w:pPr>
            <w:r>
              <w:rPr>
                <w:rFonts w:ascii="黑体" w:hAnsi="黑体"/>
                <w:b/>
              </w:rPr>
              <w:t>升级机制</w:t>
            </w:r>
          </w:p>
        </w:tc>
      </w:tr>
      <w:tr>
        <w:tc>
          <w:tcPr>
            <w:tcW w:type="dxa" w:w="1727"/>
          </w:tcPr>
          <w:p>
            <w:pPr>
              <w:jc w:val="center"/>
            </w:pPr>
            <w:r>
              <w:rPr>
                <w:rFonts w:ascii="宋体" w:hAnsi="宋体"/>
              </w:rPr>
              <w:t>一级（严重）</w:t>
            </w:r>
          </w:p>
        </w:tc>
        <w:tc>
          <w:tcPr>
            <w:tcW w:type="dxa" w:w="1727"/>
          </w:tcPr>
          <w:p>
            <w:pPr>
              <w:jc w:val="center"/>
            </w:pPr>
            <w:r>
              <w:rPr>
                <w:rFonts w:ascii="宋体" w:hAnsi="宋体"/>
              </w:rPr>
              <w:t>系统全面中断，核心业务无法运行</w:t>
            </w:r>
          </w:p>
        </w:tc>
        <w:tc>
          <w:tcPr>
            <w:tcW w:type="dxa" w:w="1727"/>
          </w:tcPr>
          <w:p>
            <w:pPr>
              <w:jc w:val="center"/>
            </w:pPr>
            <w:r>
              <w:rPr>
                <w:rFonts w:ascii="宋体" w:hAnsi="宋体"/>
              </w:rPr>
              <w:t>15分钟内响应，1小时内远程接入</w:t>
            </w:r>
          </w:p>
        </w:tc>
        <w:tc>
          <w:tcPr>
            <w:tcW w:type="dxa" w:w="1727"/>
          </w:tcPr>
          <w:p>
            <w:pPr>
              <w:jc w:val="center"/>
            </w:pPr>
            <w:r>
              <w:rPr>
                <w:rFonts w:ascii="宋体" w:hAnsi="宋体"/>
              </w:rPr>
              <w:t>4小时内恢复</w:t>
            </w:r>
          </w:p>
        </w:tc>
        <w:tc>
          <w:tcPr>
            <w:tcW w:type="dxa" w:w="1727"/>
          </w:tcPr>
          <w:p>
            <w:pPr>
              <w:jc w:val="center"/>
            </w:pPr>
            <w:r>
              <w:rPr>
                <w:rFonts w:ascii="宋体" w:hAnsi="宋体"/>
              </w:rPr>
              <w:t>每2小时上报至项目总监</w:t>
            </w:r>
          </w:p>
        </w:tc>
      </w:tr>
      <w:tr>
        <w:tc>
          <w:tcPr>
            <w:tcW w:type="dxa" w:w="1727"/>
          </w:tcPr>
          <w:p>
            <w:pPr>
              <w:jc w:val="center"/>
            </w:pPr>
            <w:r>
              <w:rPr>
                <w:rFonts w:ascii="宋体" w:hAnsi="宋体"/>
              </w:rPr>
              <w:t>二级（高）</w:t>
            </w:r>
          </w:p>
        </w:tc>
        <w:tc>
          <w:tcPr>
            <w:tcW w:type="dxa" w:w="1727"/>
          </w:tcPr>
          <w:p>
            <w:pPr>
              <w:jc w:val="center"/>
            </w:pPr>
            <w:r>
              <w:rPr>
                <w:rFonts w:ascii="宋体" w:hAnsi="宋体"/>
              </w:rPr>
              <w:t>核心功能部分失效，严重影响业务</w:t>
            </w:r>
          </w:p>
        </w:tc>
        <w:tc>
          <w:tcPr>
            <w:tcW w:type="dxa" w:w="1727"/>
          </w:tcPr>
          <w:p>
            <w:pPr>
              <w:jc w:val="center"/>
            </w:pPr>
            <w:r>
              <w:rPr>
                <w:rFonts w:ascii="宋体" w:hAnsi="宋体"/>
              </w:rPr>
              <w:t>30分钟内响应，2小时内远程接入</w:t>
            </w:r>
          </w:p>
        </w:tc>
        <w:tc>
          <w:tcPr>
            <w:tcW w:type="dxa" w:w="1727"/>
          </w:tcPr>
          <w:p>
            <w:pPr>
              <w:jc w:val="center"/>
            </w:pPr>
            <w:r>
              <w:rPr>
                <w:rFonts w:ascii="宋体" w:hAnsi="宋体"/>
              </w:rPr>
              <w:t>8小时内恢复</w:t>
            </w:r>
          </w:p>
        </w:tc>
        <w:tc>
          <w:tcPr>
            <w:tcW w:type="dxa" w:w="1727"/>
          </w:tcPr>
          <w:p>
            <w:pPr>
              <w:jc w:val="center"/>
            </w:pPr>
            <w:r>
              <w:rPr>
                <w:rFonts w:ascii="宋体" w:hAnsi="宋体"/>
              </w:rPr>
              <w:t>每4小时上报至项目经理</w:t>
            </w:r>
          </w:p>
        </w:tc>
      </w:tr>
      <w:tr>
        <w:tc>
          <w:tcPr>
            <w:tcW w:type="dxa" w:w="1727"/>
          </w:tcPr>
          <w:p>
            <w:pPr>
              <w:jc w:val="center"/>
            </w:pPr>
            <w:r>
              <w:rPr>
                <w:rFonts w:ascii="宋体" w:hAnsi="宋体"/>
              </w:rPr>
              <w:t>三级（中）</w:t>
            </w:r>
          </w:p>
        </w:tc>
        <w:tc>
          <w:tcPr>
            <w:tcW w:type="dxa" w:w="1727"/>
          </w:tcPr>
          <w:p>
            <w:pPr>
              <w:jc w:val="center"/>
            </w:pPr>
            <w:r>
              <w:rPr>
                <w:rFonts w:ascii="宋体" w:hAnsi="宋体"/>
              </w:rPr>
              <w:t>非核心功能异常，可临时规避</w:t>
            </w:r>
          </w:p>
        </w:tc>
        <w:tc>
          <w:tcPr>
            <w:tcW w:type="dxa" w:w="1727"/>
          </w:tcPr>
          <w:p>
            <w:pPr>
              <w:jc w:val="center"/>
            </w:pPr>
            <w:r>
              <w:rPr>
                <w:rFonts w:ascii="宋体" w:hAnsi="宋体"/>
              </w:rPr>
              <w:t>1小时内响应，4小时内远程接入</w:t>
            </w:r>
          </w:p>
        </w:tc>
        <w:tc>
          <w:tcPr>
            <w:tcW w:type="dxa" w:w="1727"/>
          </w:tcPr>
          <w:p>
            <w:pPr>
              <w:jc w:val="center"/>
            </w:pPr>
            <w:r>
              <w:rPr>
                <w:rFonts w:ascii="宋体" w:hAnsi="宋体"/>
              </w:rPr>
              <w:t>24小时内解决</w:t>
            </w:r>
          </w:p>
        </w:tc>
        <w:tc>
          <w:tcPr>
            <w:tcW w:type="dxa" w:w="1727"/>
          </w:tcPr>
          <w:p>
            <w:pPr>
              <w:jc w:val="center"/>
            </w:pPr>
            <w:r>
              <w:rPr>
                <w:rFonts w:ascii="宋体" w:hAnsi="宋体"/>
              </w:rPr>
              <w:t>每日汇总通报</w:t>
            </w:r>
          </w:p>
        </w:tc>
      </w:tr>
      <w:tr>
        <w:tc>
          <w:tcPr>
            <w:tcW w:type="dxa" w:w="1727"/>
          </w:tcPr>
          <w:p>
            <w:pPr>
              <w:jc w:val="center"/>
            </w:pPr>
            <w:r>
              <w:rPr>
                <w:rFonts w:ascii="宋体" w:hAnsi="宋体"/>
              </w:rPr>
              <w:t>四级（低）</w:t>
            </w:r>
          </w:p>
        </w:tc>
        <w:tc>
          <w:tcPr>
            <w:tcW w:type="dxa" w:w="1727"/>
          </w:tcPr>
          <w:p>
            <w:pPr>
              <w:jc w:val="center"/>
            </w:pPr>
            <w:r>
              <w:rPr>
                <w:rFonts w:ascii="宋体" w:hAnsi="宋体"/>
              </w:rPr>
              <w:t>一般咨询或轻微问题</w:t>
            </w:r>
          </w:p>
        </w:tc>
        <w:tc>
          <w:tcPr>
            <w:tcW w:type="dxa" w:w="1727"/>
          </w:tcPr>
          <w:p>
            <w:pPr>
              <w:jc w:val="center"/>
            </w:pPr>
            <w:r>
              <w:rPr>
                <w:rFonts w:ascii="宋体" w:hAnsi="宋体"/>
              </w:rPr>
              <w:t>2小时内响应</w:t>
            </w:r>
          </w:p>
        </w:tc>
        <w:tc>
          <w:tcPr>
            <w:tcW w:type="dxa" w:w="1727"/>
          </w:tcPr>
          <w:p>
            <w:pPr>
              <w:jc w:val="center"/>
            </w:pPr>
            <w:r>
              <w:rPr>
                <w:rFonts w:ascii="宋体" w:hAnsi="宋体"/>
              </w:rPr>
              <w:t>48小时内闭环</w:t>
            </w:r>
          </w:p>
        </w:tc>
        <w:tc>
          <w:tcPr>
            <w:tcW w:type="dxa" w:w="1727"/>
          </w:tcPr>
          <w:p>
            <w:pPr>
              <w:jc w:val="center"/>
            </w:pPr>
            <w:r>
              <w:rPr>
                <w:rFonts w:ascii="宋体" w:hAnsi="宋体"/>
              </w:rPr>
              <w:t>工单系统跟踪</w:t>
            </w:r>
          </w:p>
        </w:tc>
      </w:tr>
    </w:tbl>
    <w:p>
      <w:r>
        <w:t>所有故障申报均通过我方自主研发的ITSM服务管理平台进行统一登记、跟踪与归档。平台具备工单自动派发、处理进度可视化、超时预警提醒、客户满意度评价等功能，确保服务过程可追溯、可审计。对于需要现场支持的故障，在远程无法解决的情况下，我方承诺在接到请求后，同城4小时内、省内8小时内、跨省12小时内派遣工程师抵达现场，携带必要备件与工具开展修复工作。</w:t>
      </w:r>
    </w:p>
    <w:p>
      <w:r>
        <w:t>此外，我方建立月度服务回顾机制，定期分析故障类型、响应效率、解决周期等数据，形成《技术支持服务报告》提交采购方，并据此优化知识库、更新应急预案、开展专项培训，持续提升服务质量与技术水平。通过上述7×24小时响应机制的全面实施，我方将为用户提供安全、可靠、高效的技术保障，确保系统长期稳定运行。</w:t>
      </w:r>
    </w:p>
    <w:p>
      <w:pPr>
        <w:pStyle w:val="Heading1"/>
      </w:pPr>
      <w:r>
        <w:t>故障响应与修复时间承诺</w:t>
      </w:r>
    </w:p>
    <w:p>
      <w:r>
        <w:t>为确保系统在发生故障时能够快速响应并及时恢复，我方根据招标文件要求，结合项目实际运行需求，建立科学、规范的故障分级响应机制。本机制将故障划分为三个等级：一级故障（重大故障）、二级故障（严重故障）和三级故障（一般故障），并针对不同级别故障制定明确的响应与修复时间承诺，确保服务连续性与系统稳定性。</w:t>
      </w:r>
    </w:p>
    <w:p>
      <w:r>
        <w:t>1. 故障等级定义</w:t>
      </w:r>
    </w:p>
    <w:p>
      <w:pPr>
        <w:pStyle w:val="ListBullet"/>
      </w:pPr>
      <w:r>
        <w:t>一级故障（重大故障）：指系统核心功能完全中断，导致业务无法正常开展，或关键数据丢失、系统大面积瘫痪的情况。例如：核心服务器宕机、数据库崩溃、网络主干中断、安全事件导致系统不可用等。此类故障直接影响用户正常使用，需立即响应并优先处理。</w:t>
      </w:r>
    </w:p>
    <w:p>
      <w:pPr>
        <w:pStyle w:val="ListBullet"/>
      </w:pPr>
      <w:r>
        <w:t>二级故障（严重故障）：指系统部分功能异常或性能严重下降，影响主要业务流程但未造成全面中断。例如：关键模块响应超时、接口调用失败率超过阈值、存储空间不足导致写入受限、非核心节点故障等。此类故障虽未完全阻断业务，但已对用户体验和运营效率产生显著影响。</w:t>
      </w:r>
    </w:p>
    <w:p>
      <w:pPr>
        <w:pStyle w:val="ListBullet"/>
      </w:pPr>
      <w:r>
        <w:t>三级故障（一般故障）：指系统非核心功能出现轻微异常，不影响主要业务流程，用户可继续使用系统基本功能。例如：界面显示错误、日志告警、辅助功能失效、个别报表生成延迟等。此类故障通常可通过常规维护手段解决，对整体运行影响较小。</w:t>
      </w:r>
    </w:p>
    <w:p>
      <w:r>
        <w:t>2. 响应与修复时间承诺</w:t>
      </w:r>
    </w:p>
    <w:p>
      <w:r>
        <w:t>为保障故障处理的高效性与可追溯性，我方对各级故障设定如下响应与修复时限，并通过7×24小时监控平台实时跟踪处理进度：</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故障等级</w:t>
            </w:r>
          </w:p>
        </w:tc>
        <w:tc>
          <w:tcPr>
            <w:tcW w:type="dxa" w:w="1439"/>
          </w:tcPr>
          <w:p>
            <w:pPr>
              <w:jc w:val="center"/>
            </w:pPr>
            <w:r>
              <w:rPr>
                <w:rFonts w:ascii="黑体" w:hAnsi="黑体"/>
                <w:b/>
              </w:rPr>
              <w:t>故障描述示例</w:t>
            </w:r>
          </w:p>
        </w:tc>
        <w:tc>
          <w:tcPr>
            <w:tcW w:type="dxa" w:w="1439"/>
          </w:tcPr>
          <w:p>
            <w:pPr>
              <w:jc w:val="center"/>
            </w:pPr>
            <w:r>
              <w:rPr>
                <w:rFonts w:ascii="黑体" w:hAnsi="黑体"/>
                <w:b/>
              </w:rPr>
              <w:t>响应时间承诺</w:t>
            </w:r>
          </w:p>
        </w:tc>
        <w:tc>
          <w:tcPr>
            <w:tcW w:type="dxa" w:w="1439"/>
          </w:tcPr>
          <w:p>
            <w:pPr>
              <w:jc w:val="center"/>
            </w:pPr>
            <w:r>
              <w:rPr>
                <w:rFonts w:ascii="黑体" w:hAnsi="黑体"/>
                <w:b/>
              </w:rPr>
              <w:t>故障定位时间</w:t>
            </w:r>
          </w:p>
        </w:tc>
        <w:tc>
          <w:tcPr>
            <w:tcW w:type="dxa" w:w="1439"/>
          </w:tcPr>
          <w:p>
            <w:pPr>
              <w:jc w:val="center"/>
            </w:pPr>
            <w:r>
              <w:rPr>
                <w:rFonts w:ascii="黑体" w:hAnsi="黑体"/>
                <w:b/>
              </w:rPr>
              <w:t>修复时间承诺</w:t>
            </w:r>
          </w:p>
        </w:tc>
        <w:tc>
          <w:tcPr>
            <w:tcW w:type="dxa" w:w="1439"/>
          </w:tcPr>
          <w:p>
            <w:pPr>
              <w:jc w:val="center"/>
            </w:pPr>
            <w:r>
              <w:rPr>
                <w:rFonts w:ascii="黑体" w:hAnsi="黑体"/>
                <w:b/>
              </w:rPr>
              <w:t>处理方式</w:t>
            </w:r>
          </w:p>
        </w:tc>
      </w:tr>
      <w:tr>
        <w:tc>
          <w:tcPr>
            <w:tcW w:type="dxa" w:w="1439"/>
          </w:tcPr>
          <w:p>
            <w:pPr>
              <w:jc w:val="center"/>
            </w:pPr>
            <w:r>
              <w:rPr>
                <w:rFonts w:ascii="宋体" w:hAnsi="宋体"/>
              </w:rPr>
              <w:t>一级故障</w:t>
            </w:r>
          </w:p>
        </w:tc>
        <w:tc>
          <w:tcPr>
            <w:tcW w:type="dxa" w:w="1439"/>
          </w:tcPr>
          <w:p>
            <w:pPr>
              <w:jc w:val="center"/>
            </w:pPr>
            <w:r>
              <w:rPr>
                <w:rFonts w:ascii="宋体" w:hAnsi="宋体"/>
              </w:rPr>
              <w:t>核心服务中断、数据库宕机、主网络链路中断、大规模访问异常</w:t>
            </w:r>
          </w:p>
        </w:tc>
        <w:tc>
          <w:tcPr>
            <w:tcW w:type="dxa" w:w="1439"/>
          </w:tcPr>
          <w:p>
            <w:pPr>
              <w:jc w:val="center"/>
            </w:pPr>
            <w:r>
              <w:rPr>
                <w:rFonts w:ascii="宋体" w:hAnsi="宋体"/>
              </w:rPr>
              <w:t>≤15分钟</w:t>
            </w:r>
          </w:p>
        </w:tc>
        <w:tc>
          <w:tcPr>
            <w:tcW w:type="dxa" w:w="1439"/>
          </w:tcPr>
          <w:p>
            <w:pPr>
              <w:jc w:val="center"/>
            </w:pPr>
            <w:r>
              <w:rPr>
                <w:rFonts w:ascii="宋体" w:hAnsi="宋体"/>
              </w:rPr>
              <w:t>≤30分钟</w:t>
            </w:r>
          </w:p>
        </w:tc>
        <w:tc>
          <w:tcPr>
            <w:tcW w:type="dxa" w:w="1439"/>
          </w:tcPr>
          <w:p>
            <w:pPr>
              <w:jc w:val="center"/>
            </w:pPr>
            <w:r>
              <w:rPr>
                <w:rFonts w:ascii="宋体" w:hAnsi="宋体"/>
              </w:rPr>
              <w:t>≤2小时</w:t>
            </w:r>
          </w:p>
        </w:tc>
        <w:tc>
          <w:tcPr>
            <w:tcW w:type="dxa" w:w="1439"/>
          </w:tcPr>
          <w:p>
            <w:pPr>
              <w:jc w:val="center"/>
            </w:pPr>
            <w:r>
              <w:rPr>
                <w:rFonts w:ascii="宋体" w:hAnsi="宋体"/>
              </w:rPr>
              <w:t>启动应急响应小组，远程+现场双线介入，每30分钟通报进展，故障解除后提交根因分析报告</w:t>
            </w:r>
          </w:p>
        </w:tc>
      </w:tr>
      <w:tr>
        <w:tc>
          <w:tcPr>
            <w:tcW w:type="dxa" w:w="1439"/>
          </w:tcPr>
          <w:p>
            <w:pPr>
              <w:jc w:val="center"/>
            </w:pPr>
            <w:r>
              <w:rPr>
                <w:rFonts w:ascii="宋体" w:hAnsi="宋体"/>
              </w:rPr>
              <w:t>二级故障</w:t>
            </w:r>
          </w:p>
        </w:tc>
        <w:tc>
          <w:tcPr>
            <w:tcW w:type="dxa" w:w="1439"/>
          </w:tcPr>
          <w:p>
            <w:pPr>
              <w:jc w:val="center"/>
            </w:pPr>
            <w:r>
              <w:rPr>
                <w:rFonts w:ascii="宋体" w:hAnsi="宋体"/>
              </w:rPr>
              <w:t>关键接口失败、系统响应缓慢、重要功能模块异常、备份失败告警</w:t>
            </w:r>
          </w:p>
        </w:tc>
        <w:tc>
          <w:tcPr>
            <w:tcW w:type="dxa" w:w="1439"/>
          </w:tcPr>
          <w:p>
            <w:pPr>
              <w:jc w:val="center"/>
            </w:pPr>
            <w:r>
              <w:rPr>
                <w:rFonts w:ascii="宋体" w:hAnsi="宋体"/>
              </w:rPr>
              <w:t>≤30分钟</w:t>
            </w:r>
          </w:p>
        </w:tc>
        <w:tc>
          <w:tcPr>
            <w:tcW w:type="dxa" w:w="1439"/>
          </w:tcPr>
          <w:p>
            <w:pPr>
              <w:jc w:val="center"/>
            </w:pPr>
            <w:r>
              <w:rPr>
                <w:rFonts w:ascii="宋体" w:hAnsi="宋体"/>
              </w:rPr>
              <w:t>≤1小时</w:t>
            </w:r>
          </w:p>
        </w:tc>
        <w:tc>
          <w:tcPr>
            <w:tcW w:type="dxa" w:w="1439"/>
          </w:tcPr>
          <w:p>
            <w:pPr>
              <w:jc w:val="center"/>
            </w:pPr>
            <w:r>
              <w:rPr>
                <w:rFonts w:ascii="宋体" w:hAnsi="宋体"/>
              </w:rPr>
              <w:t>≤8小时</w:t>
            </w:r>
          </w:p>
        </w:tc>
        <w:tc>
          <w:tcPr>
            <w:tcW w:type="dxa" w:w="1439"/>
          </w:tcPr>
          <w:p>
            <w:pPr>
              <w:jc w:val="center"/>
            </w:pPr>
            <w:r>
              <w:rPr>
                <w:rFonts w:ascii="宋体" w:hAnsi="宋体"/>
              </w:rPr>
              <w:t>技术支持团队远程排查，必要时安排工程师现场支持，每2小时更新处理状态，修复后提供处理记录</w:t>
            </w:r>
          </w:p>
        </w:tc>
      </w:tr>
      <w:tr>
        <w:tc>
          <w:tcPr>
            <w:tcW w:type="dxa" w:w="1439"/>
          </w:tcPr>
          <w:p>
            <w:pPr>
              <w:jc w:val="center"/>
            </w:pPr>
            <w:r>
              <w:rPr>
                <w:rFonts w:ascii="宋体" w:hAnsi="宋体"/>
              </w:rPr>
              <w:t>三级故障</w:t>
            </w:r>
          </w:p>
        </w:tc>
        <w:tc>
          <w:tcPr>
            <w:tcW w:type="dxa" w:w="1439"/>
          </w:tcPr>
          <w:p>
            <w:pPr>
              <w:jc w:val="center"/>
            </w:pPr>
            <w:r>
              <w:rPr>
                <w:rFonts w:ascii="宋体" w:hAnsi="宋体"/>
              </w:rPr>
              <w:t>界面报错、非关键功能不可用、日志异常提示、配置参数错误</w:t>
            </w:r>
          </w:p>
        </w:tc>
        <w:tc>
          <w:tcPr>
            <w:tcW w:type="dxa" w:w="1439"/>
          </w:tcPr>
          <w:p>
            <w:pPr>
              <w:jc w:val="center"/>
            </w:pPr>
            <w:r>
              <w:rPr>
                <w:rFonts w:ascii="宋体" w:hAnsi="宋体"/>
              </w:rPr>
              <w:t>≤2小时</w:t>
            </w:r>
          </w:p>
        </w:tc>
        <w:tc>
          <w:tcPr>
            <w:tcW w:type="dxa" w:w="1439"/>
          </w:tcPr>
          <w:p>
            <w:pPr>
              <w:jc w:val="center"/>
            </w:pPr>
            <w:r>
              <w:rPr>
                <w:rFonts w:ascii="宋体" w:hAnsi="宋体"/>
              </w:rPr>
              <w:t>≤4小时</w:t>
            </w:r>
          </w:p>
        </w:tc>
        <w:tc>
          <w:tcPr>
            <w:tcW w:type="dxa" w:w="1439"/>
          </w:tcPr>
          <w:p>
            <w:pPr>
              <w:jc w:val="center"/>
            </w:pPr>
            <w:r>
              <w:rPr>
                <w:rFonts w:ascii="宋体" w:hAnsi="宋体"/>
              </w:rPr>
              <w:t>≤24小时</w:t>
            </w:r>
          </w:p>
        </w:tc>
        <w:tc>
          <w:tcPr>
            <w:tcW w:type="dxa" w:w="1439"/>
          </w:tcPr>
          <w:p>
            <w:pPr>
              <w:jc w:val="center"/>
            </w:pPr>
            <w:r>
              <w:rPr>
                <w:rFonts w:ascii="宋体" w:hAnsi="宋体"/>
              </w:rPr>
              <w:t>远程技术支持处理，纳入日常运维工单系统跟踪，按优先级调度修复，每周汇总处理情况</w:t>
            </w:r>
          </w:p>
        </w:tc>
      </w:tr>
    </w:tbl>
    <w:p>
      <w:r>
        <w:t>3. 故障处理流程保障措施</w:t>
      </w:r>
    </w:p>
    <w:p>
      <w:pPr>
        <w:pStyle w:val="ListBullet"/>
      </w:pPr>
      <w:r>
        <w:t>7×24小时监控与值班制度：部署智能监控平台，对系统运行状态、资源利用率、应用性能、日志异常等进行全天候监测。设立专职运维团队轮班值守，确保任何时段均可第一时间接收告警并启动响应。</w:t>
      </w:r>
    </w:p>
    <w:p>
      <w:pPr>
        <w:pStyle w:val="ListBullet"/>
      </w:pPr>
      <w:r>
        <w:t>多通道故障申报机制：提供电话、邮件、运维平台工单等多种故障申报渠道，确保用户可随时反馈问题。所有故障申报均自动录入ITSM系统，生成唯一工单编号，实现全程可追溯。</w:t>
      </w:r>
    </w:p>
    <w:p>
      <w:pPr>
        <w:pStyle w:val="ListBullet"/>
      </w:pPr>
      <w:r>
        <w:t>应急预案与演练：针对一级故障制定专项应急预案，包括数据恢复、服务切换、容灾接管等操作流程。每季度组织一次应急演练，验证预案有效性，提升团队协同处置能力。</w:t>
      </w:r>
    </w:p>
    <w:p>
      <w:pPr>
        <w:pStyle w:val="ListBullet"/>
      </w:pPr>
      <w:r>
        <w:t>故障闭环管理：所有故障处理完成后，须提交《故障处理报告》，内容包括故障现象、原因分析、处理过程、改进措施及预防建议。报告经技术负责人审核后归档，作为后续优化依据。</w:t>
      </w:r>
    </w:p>
    <w:p>
      <w:pPr>
        <w:pStyle w:val="ListBullet"/>
      </w:pPr>
      <w:r>
        <w:t>SLA考核与持续改进：将故障响应与修复时效纳入服务质量考核指标，定期统计达标率。对于未按时处理的故障，深入分析原因并落实整改，持续优化运维体系。</w:t>
      </w:r>
    </w:p>
    <w:p>
      <w:r>
        <w:t>我方郑重承诺：严格按照上述分级标准执行故障响应与修复工作，确保系统高可用性，最大限度降低故障对业务的影响，全力保障项目建设与运行的稳定可靠。</w:t>
      </w:r>
    </w:p>
    <w:p>
      <w:pPr>
        <w:pStyle w:val="Heading1"/>
      </w:pPr>
      <w:r>
        <w:t>定期巡检与预防性维护</w:t>
      </w:r>
    </w:p>
    <w:p>
      <w:r>
        <w:t>为确保系统长期稳定运行，我方建立了一套科学、规范、高效的定期巡检与预防性维护机制。该机制以“主动发现、提前干预、消除隐患”为核心原则，通过每月/季度开展系统健康检查，全面评估系统运行状态，识别潜在风险，并形成详实的运维报告，为后续优化提供数据支持和决策依据。</w:t>
      </w:r>
    </w:p>
    <w:p>
      <w:r>
        <w:t>一、巡检周期与计划管理</w:t>
      </w:r>
    </w:p>
    <w:p>
      <w:r>
        <w:t>根据招标文件要求及系统关键程度，我方将执行双层级巡检策略：核心业务系统实行月度巡检，非核心辅助系统实行季度巡检。所有巡检任务均纳入统一的IT服务管理系统（ITSM）进行计划排程，确保任务可追踪、过程可审计、结果可回溯。每次巡检前7个工作日，我方将向采购人提交《系统巡检计划表》，明确巡检时间、范围、参与人员及所需配合事项，经确认后严格执行。</w:t>
      </w:r>
    </w:p>
    <w:p>
      <w:r>
        <w:t>二、巡检内容与技术手段</w:t>
      </w:r>
    </w:p>
    <w:p>
      <w:r>
        <w:t>巡检工作覆盖硬件层、操作系统层、数据库层、中间件层、应用层及安全防护体系六大维度，具体包括但不限于以下内容：</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巡检类别</w:t>
            </w:r>
          </w:p>
        </w:tc>
        <w:tc>
          <w:tcPr>
            <w:tcW w:type="dxa" w:w="2878"/>
          </w:tcPr>
          <w:p>
            <w:pPr>
              <w:jc w:val="center"/>
            </w:pPr>
            <w:r>
              <w:rPr>
                <w:rFonts w:ascii="黑体" w:hAnsi="黑体"/>
                <w:b/>
              </w:rPr>
              <w:t>检查项目示例</w:t>
            </w:r>
          </w:p>
        </w:tc>
        <w:tc>
          <w:tcPr>
            <w:tcW w:type="dxa" w:w="2878"/>
          </w:tcPr>
          <w:p>
            <w:pPr>
              <w:jc w:val="center"/>
            </w:pPr>
            <w:r>
              <w:rPr>
                <w:rFonts w:ascii="黑体" w:hAnsi="黑体"/>
                <w:b/>
              </w:rPr>
              <w:t>检测工具/方法</w:t>
            </w:r>
          </w:p>
        </w:tc>
      </w:tr>
      <w:tr>
        <w:tc>
          <w:tcPr>
            <w:tcW w:type="dxa" w:w="2878"/>
          </w:tcPr>
          <w:p>
            <w:pPr>
              <w:jc w:val="center"/>
            </w:pPr>
            <w:r>
              <w:rPr>
                <w:rFonts w:ascii="宋体" w:hAnsi="宋体"/>
              </w:rPr>
              <w:t>硬件资源</w:t>
            </w:r>
          </w:p>
        </w:tc>
        <w:tc>
          <w:tcPr>
            <w:tcW w:type="dxa" w:w="2878"/>
          </w:tcPr>
          <w:p>
            <w:pPr>
              <w:jc w:val="center"/>
            </w:pPr>
            <w:r>
              <w:rPr>
                <w:rFonts w:ascii="宋体" w:hAnsi="宋体"/>
              </w:rPr>
              <w:t>CPU使用率、内存占用、磁盘I/O、RAID状态</w:t>
            </w:r>
          </w:p>
        </w:tc>
        <w:tc>
          <w:tcPr>
            <w:tcW w:type="dxa" w:w="2878"/>
          </w:tcPr>
          <w:p>
            <w:pPr>
              <w:jc w:val="center"/>
            </w:pPr>
            <w:r>
              <w:rPr>
                <w:rFonts w:ascii="宋体" w:hAnsi="宋体"/>
              </w:rPr>
              <w:t>SNMP监控、IPMI远程管理</w:t>
            </w:r>
          </w:p>
        </w:tc>
      </w:tr>
      <w:tr>
        <w:tc>
          <w:tcPr>
            <w:tcW w:type="dxa" w:w="2878"/>
          </w:tcPr>
          <w:p>
            <w:pPr>
              <w:jc w:val="center"/>
            </w:pPr>
            <w:r>
              <w:rPr>
                <w:rFonts w:ascii="宋体" w:hAnsi="宋体"/>
              </w:rPr>
              <w:t>操作系统</w:t>
            </w:r>
          </w:p>
        </w:tc>
        <w:tc>
          <w:tcPr>
            <w:tcW w:type="dxa" w:w="2878"/>
          </w:tcPr>
          <w:p>
            <w:pPr>
              <w:jc w:val="center"/>
            </w:pPr>
            <w:r>
              <w:rPr>
                <w:rFonts w:ascii="宋体" w:hAnsi="宋体"/>
              </w:rPr>
              <w:t>系统日志异常、进程状态、文件系统完整性、补丁版本</w:t>
            </w:r>
          </w:p>
        </w:tc>
        <w:tc>
          <w:tcPr>
            <w:tcW w:type="dxa" w:w="2878"/>
          </w:tcPr>
          <w:p>
            <w:pPr>
              <w:jc w:val="center"/>
            </w:pPr>
            <w:r>
              <w:rPr>
                <w:rFonts w:ascii="宋体" w:hAnsi="宋体"/>
              </w:rPr>
              <w:t>Shell脚本自动化检测、Log分析工具</w:t>
            </w:r>
          </w:p>
        </w:tc>
      </w:tr>
      <w:tr>
        <w:tc>
          <w:tcPr>
            <w:tcW w:type="dxa" w:w="2878"/>
          </w:tcPr>
          <w:p>
            <w:pPr>
              <w:jc w:val="center"/>
            </w:pPr>
            <w:r>
              <w:rPr>
                <w:rFonts w:ascii="宋体" w:hAnsi="宋体"/>
              </w:rPr>
              <w:t>数据库</w:t>
            </w:r>
          </w:p>
        </w:tc>
        <w:tc>
          <w:tcPr>
            <w:tcW w:type="dxa" w:w="2878"/>
          </w:tcPr>
          <w:p>
            <w:pPr>
              <w:jc w:val="center"/>
            </w:pPr>
            <w:r>
              <w:rPr>
                <w:rFonts w:ascii="宋体" w:hAnsi="宋体"/>
              </w:rPr>
              <w:t>表空间使用率、锁等待、慢查询、备份状态、索引效率</w:t>
            </w:r>
          </w:p>
        </w:tc>
        <w:tc>
          <w:tcPr>
            <w:tcW w:type="dxa" w:w="2878"/>
          </w:tcPr>
          <w:p>
            <w:pPr>
              <w:jc w:val="center"/>
            </w:pPr>
            <w:r>
              <w:rPr>
                <w:rFonts w:ascii="宋体" w:hAnsi="宋体"/>
              </w:rPr>
              <w:t>SQL性能分析器、数据库自带诊断工具</w:t>
            </w:r>
          </w:p>
        </w:tc>
      </w:tr>
      <w:tr>
        <w:tc>
          <w:tcPr>
            <w:tcW w:type="dxa" w:w="2878"/>
          </w:tcPr>
          <w:p>
            <w:pPr>
              <w:jc w:val="center"/>
            </w:pPr>
            <w:r>
              <w:rPr>
                <w:rFonts w:ascii="宋体" w:hAnsi="宋体"/>
              </w:rPr>
              <w:t>中间件</w:t>
            </w:r>
          </w:p>
        </w:tc>
        <w:tc>
          <w:tcPr>
            <w:tcW w:type="dxa" w:w="2878"/>
          </w:tcPr>
          <w:p>
            <w:pPr>
              <w:jc w:val="center"/>
            </w:pPr>
            <w:r>
              <w:rPr>
                <w:rFonts w:ascii="宋体" w:hAnsi="宋体"/>
              </w:rPr>
              <w:t>线程池状态、连接数、JVM内存、GC频率</w:t>
            </w:r>
          </w:p>
        </w:tc>
        <w:tc>
          <w:tcPr>
            <w:tcW w:type="dxa" w:w="2878"/>
          </w:tcPr>
          <w:p>
            <w:pPr>
              <w:jc w:val="center"/>
            </w:pPr>
            <w:r>
              <w:rPr>
                <w:rFonts w:ascii="宋体" w:hAnsi="宋体"/>
              </w:rPr>
              <w:t>JConsole、VisualVM、APM监控平台</w:t>
            </w:r>
          </w:p>
        </w:tc>
      </w:tr>
      <w:tr>
        <w:tc>
          <w:tcPr>
            <w:tcW w:type="dxa" w:w="2878"/>
          </w:tcPr>
          <w:p>
            <w:pPr>
              <w:jc w:val="center"/>
            </w:pPr>
            <w:r>
              <w:rPr>
                <w:rFonts w:ascii="宋体" w:hAnsi="宋体"/>
              </w:rPr>
              <w:t>应用服务</w:t>
            </w:r>
          </w:p>
        </w:tc>
        <w:tc>
          <w:tcPr>
            <w:tcW w:type="dxa" w:w="2878"/>
          </w:tcPr>
          <w:p>
            <w:pPr>
              <w:jc w:val="center"/>
            </w:pPr>
            <w:r>
              <w:rPr>
                <w:rFonts w:ascii="宋体" w:hAnsi="宋体"/>
              </w:rPr>
              <w:t>接口响应时间、错误码统计、服务可用性、会话管理</w:t>
            </w:r>
          </w:p>
        </w:tc>
        <w:tc>
          <w:tcPr>
            <w:tcW w:type="dxa" w:w="2878"/>
          </w:tcPr>
          <w:p>
            <w:pPr>
              <w:jc w:val="center"/>
            </w:pPr>
            <w:r>
              <w:rPr>
                <w:rFonts w:ascii="宋体" w:hAnsi="宋体"/>
              </w:rPr>
              <w:t>自研健康探测程序、API自动化测试</w:t>
            </w:r>
          </w:p>
        </w:tc>
      </w:tr>
      <w:tr>
        <w:tc>
          <w:tcPr>
            <w:tcW w:type="dxa" w:w="2878"/>
          </w:tcPr>
          <w:p>
            <w:pPr>
              <w:jc w:val="center"/>
            </w:pPr>
            <w:r>
              <w:rPr>
                <w:rFonts w:ascii="宋体" w:hAnsi="宋体"/>
              </w:rPr>
              <w:t>安全防护</w:t>
            </w:r>
          </w:p>
        </w:tc>
        <w:tc>
          <w:tcPr>
            <w:tcW w:type="dxa" w:w="2878"/>
          </w:tcPr>
          <w:p>
            <w:pPr>
              <w:jc w:val="center"/>
            </w:pPr>
            <w:r>
              <w:rPr>
                <w:rFonts w:ascii="宋体" w:hAnsi="宋体"/>
              </w:rPr>
              <w:t>防火墙规则有效性、入侵检测日志、病毒库更新、权限配置</w:t>
            </w:r>
          </w:p>
        </w:tc>
        <w:tc>
          <w:tcPr>
            <w:tcW w:type="dxa" w:w="2878"/>
          </w:tcPr>
          <w:p>
            <w:pPr>
              <w:jc w:val="center"/>
            </w:pPr>
            <w:r>
              <w:rPr>
                <w:rFonts w:ascii="宋体" w:hAnsi="宋体"/>
              </w:rPr>
              <w:t>安全扫描工具、SIEM日志分析系统</w:t>
            </w:r>
          </w:p>
        </w:tc>
      </w:tr>
    </w:tbl>
    <w:p>
      <w:r>
        <w:t>所有检测项均设置阈值告警机制，一旦发现指标偏离正常区间，立即启动故障排查流程，并在报告中予以重点标注。</w:t>
      </w:r>
    </w:p>
    <w:p>
      <w:r>
        <w:t>三、风险识别与处理机制</w:t>
      </w:r>
    </w:p>
    <w:p>
      <w:r>
        <w:t>在巡检过程中，我方将采用“问题分级+闭环管理”模式对潜在风险进行分类处置：</w:t>
      </w:r>
    </w:p>
    <w:p>
      <w:pPr>
        <w:pStyle w:val="ListBullet"/>
      </w:pPr>
      <w:r>
        <w:t>一级风险（高危）：可能导致系统宕机或数据丢失的问题，如磁盘即将满载、数据库死锁频发等，将在2小时内提出临时规避方案，并于24小时内完成修复；</w:t>
      </w:r>
    </w:p>
    <w:p>
      <w:pPr>
        <w:pStyle w:val="ListBullet"/>
      </w:pPr>
      <w:r>
        <w:t>二级风险（中危）：影响系统性能但不致中断的问题，如内存泄漏趋势、索引缺失等，将在3个工作日内制定整改计划并实施；</w:t>
      </w:r>
    </w:p>
    <w:p>
      <w:pPr>
        <w:pStyle w:val="ListBullet"/>
      </w:pPr>
      <w:r>
        <w:t>三级风险（低危）：建议性优化项，如日志轮转策略调整、参数微调等，纳入下一版本迭代优化清单。</w:t>
      </w:r>
    </w:p>
    <w:p>
      <w:r>
        <w:t>四、运维报告输出与归档</w:t>
      </w:r>
    </w:p>
    <w:p>
      <w:r>
        <w:t>每次巡检结束后5个工作日内，我方向采购人提交《系统健康检查报告》（PDF及Word双格式），报告内容包含：本次巡检概况、各子系统运行状态评分、发现的风险清单（含等级、影响分析、处理建议）、历史数据对比趋势图、下阶段优化建议等。所有报告均上传至采购人指定文档管理系统，按年度归档保存，保存期限不少于五年。</w:t>
      </w:r>
    </w:p>
    <w:p>
      <w:r>
        <w:t>五、持续改进与服务质量保障</w:t>
      </w:r>
    </w:p>
    <w:p>
      <w:r>
        <w:t>我方承诺每年至少组织一次巡检标准复审会议，结合系统演进情况和技术发展动态，持续优化巡检项和评估模型。同时，配备专职高级工程师负责巡检质量监督，确保每次巡检真实有效、报告内容客观准确。通过该机制，力争实现全年重大故障零发生、系统可用性达99.99%以上的目标，切实保障业务连续性和数据安全性。</w:t>
      </w:r>
    </w:p>
    <w:p>
      <w:pPr>
        <w:pStyle w:val="Heading1"/>
      </w:pPr>
      <w:r>
        <w:t>软件升级与功能优化</w:t>
      </w:r>
    </w:p>
    <w:p>
      <w:r>
        <w:t>为确保系统长期稳定运行并持续满足业务发展需求，我方建立了一套科学、高效且对客户业务影响最小化的软件升级与功能优化机制。该机制涵盖补丁更新、版本迭代的全生命周期管理，从规划、测试、发布到回滚均设有标准化流程和应急预案。</w:t>
      </w:r>
    </w:p>
    <w:p>
      <w:r>
        <w:t>在系统补丁更新方面，我们采用“热补丁+灰度发布”相结合的策略。针对紧急安全漏洞或关键缺陷，开发团队将在24小时内完成热补丁的研发与内部验证，并通过自动化部署工具在非高峰时段（如凌晨1:00-5:00）进行静默推送，确保服务不中断、用户无感知。补丁发布前，将在隔离的预生产环境中进行多轮回归测试与压力测试，覆盖所有核心业务场景，测试通过率需达到100%方可进入发布流程。补丁发布后，监控系统将实时采集关键性能指标（KPI），包括响应时间、错误率、资源占用等，一旦发现异常将自动触发告警并执行预设的回滚脚本，确保系统可在3分钟内恢复至稳定状态。</w:t>
      </w:r>
    </w:p>
    <w:p>
      <w:r>
        <w:t>对于功能优化和版本迭代，我们实行季度大版本+月度小版本的发布节奏。每个版本均遵循敏捷开发模式，经过需求评审、设计开发、单元测试、集成测试、UAT用户验收测试等环节。为最大限度降低对客户业务的影响，新版本采用分阶段灰度发布机制：首先面向1%-5%的非核心用户开放，观察72小时运行稳定性；若无重大问题，则逐步扩大至10%、30%，最终实现全量上线。整个过程支持AB测试对比，确保新功能在性能与用户体验上优于旧版本。</w:t>
      </w:r>
    </w:p>
    <w:p>
      <w:r>
        <w:t>为保障升级过程透明可控，我们将提供详细的变更日志（Change Log）与升级指南，并提前15个工作日通知客户维护窗口期。同时，建立双通道沟通机制：技术对接群用于实时同步进度，客户服务门户提供可视化发布看板，客户可随时查看当前版本状态、已知问题及解决方案。所有升级操作均由具备认证资质的运维工程师执行，并全程录像留痕，符合ISO 27001信息安全管理要求。</w:t>
      </w:r>
    </w:p>
    <w:p>
      <w:r>
        <w:t>此外，我们承诺所有历史版本至少保留12个月的兼容性支持，确保客户有充足时间完成迁移。若因升级导致业务中断，将启动SLA赔偿机制，并在2小时内提供根本原因分析报告（RCA）。通过上述体系化措施，我们确保每一次软件升级都能平稳落地，在提升系统能力的同时，最大程度保障客户业务连续性和数据安全性。</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发布类型</w:t>
            </w:r>
          </w:p>
        </w:tc>
        <w:tc>
          <w:tcPr>
            <w:tcW w:type="dxa" w:w="1439"/>
          </w:tcPr>
          <w:p>
            <w:pPr>
              <w:jc w:val="center"/>
            </w:pPr>
            <w:r>
              <w:rPr>
                <w:rFonts w:ascii="黑体" w:hAnsi="黑体"/>
                <w:b/>
              </w:rPr>
              <w:t>触发条件</w:t>
            </w:r>
          </w:p>
        </w:tc>
        <w:tc>
          <w:tcPr>
            <w:tcW w:type="dxa" w:w="1439"/>
          </w:tcPr>
          <w:p>
            <w:pPr>
              <w:jc w:val="center"/>
            </w:pPr>
            <w:r>
              <w:rPr>
                <w:rFonts w:ascii="黑体" w:hAnsi="黑体"/>
                <w:b/>
              </w:rPr>
              <w:t>发布频率</w:t>
            </w:r>
          </w:p>
        </w:tc>
        <w:tc>
          <w:tcPr>
            <w:tcW w:type="dxa" w:w="1439"/>
          </w:tcPr>
          <w:p>
            <w:pPr>
              <w:jc w:val="center"/>
            </w:pPr>
            <w:r>
              <w:rPr>
                <w:rFonts w:ascii="黑体" w:hAnsi="黑体"/>
                <w:b/>
              </w:rPr>
              <w:t>维护窗口</w:t>
            </w:r>
          </w:p>
        </w:tc>
        <w:tc>
          <w:tcPr>
            <w:tcW w:type="dxa" w:w="1439"/>
          </w:tcPr>
          <w:p>
            <w:pPr>
              <w:jc w:val="center"/>
            </w:pPr>
            <w:r>
              <w:rPr>
                <w:rFonts w:ascii="黑体" w:hAnsi="黑体"/>
                <w:b/>
              </w:rPr>
              <w:t>回滚时效</w:t>
            </w:r>
          </w:p>
        </w:tc>
        <w:tc>
          <w:tcPr>
            <w:tcW w:type="dxa" w:w="1439"/>
          </w:tcPr>
          <w:p>
            <w:pPr>
              <w:jc w:val="center"/>
            </w:pPr>
            <w:r>
              <w:rPr>
                <w:rFonts w:ascii="黑体" w:hAnsi="黑体"/>
                <w:b/>
              </w:rPr>
              <w:t>影响范围控制</w:t>
            </w:r>
          </w:p>
        </w:tc>
      </w:tr>
      <w:tr>
        <w:tc>
          <w:tcPr>
            <w:tcW w:type="dxa" w:w="1439"/>
          </w:tcPr>
          <w:p>
            <w:pPr>
              <w:jc w:val="center"/>
            </w:pPr>
            <w:r>
              <w:rPr>
                <w:rFonts w:ascii="宋体" w:hAnsi="宋体"/>
              </w:rPr>
              <w:t>紧急补丁</w:t>
            </w:r>
          </w:p>
        </w:tc>
        <w:tc>
          <w:tcPr>
            <w:tcW w:type="dxa" w:w="1439"/>
          </w:tcPr>
          <w:p>
            <w:pPr>
              <w:jc w:val="center"/>
            </w:pPr>
            <w:r>
              <w:rPr>
                <w:rFonts w:ascii="宋体" w:hAnsi="宋体"/>
              </w:rPr>
              <w:t>安全漏洞/Critical级别缺陷</w:t>
            </w:r>
          </w:p>
        </w:tc>
        <w:tc>
          <w:tcPr>
            <w:tcW w:type="dxa" w:w="1439"/>
          </w:tcPr>
          <w:p>
            <w:pPr>
              <w:jc w:val="center"/>
            </w:pPr>
            <w:r>
              <w:rPr>
                <w:rFonts w:ascii="宋体" w:hAnsi="宋体"/>
              </w:rPr>
              <w:t>按需（≤24小时响应）</w:t>
            </w:r>
          </w:p>
        </w:tc>
        <w:tc>
          <w:tcPr>
            <w:tcW w:type="dxa" w:w="1439"/>
          </w:tcPr>
          <w:p>
            <w:pPr>
              <w:jc w:val="center"/>
            </w:pPr>
            <w:r>
              <w:rPr>
                <w:rFonts w:ascii="宋体" w:hAnsi="宋体"/>
              </w:rPr>
              <w:t>凌晨1:00-5:00</w:t>
            </w:r>
          </w:p>
        </w:tc>
        <w:tc>
          <w:tcPr>
            <w:tcW w:type="dxa" w:w="1439"/>
          </w:tcPr>
          <w:p>
            <w:pPr>
              <w:jc w:val="center"/>
            </w:pPr>
            <w:r>
              <w:rPr>
                <w:rFonts w:ascii="宋体" w:hAnsi="宋体"/>
              </w:rPr>
              <w:t>≤3分钟</w:t>
            </w:r>
          </w:p>
        </w:tc>
        <w:tc>
          <w:tcPr>
            <w:tcW w:type="dxa" w:w="1439"/>
          </w:tcPr>
          <w:p>
            <w:pPr>
              <w:jc w:val="center"/>
            </w:pPr>
            <w:r>
              <w:rPr>
                <w:rFonts w:ascii="宋体" w:hAnsi="宋体"/>
              </w:rPr>
              <w:t>全量静默更新</w:t>
            </w:r>
          </w:p>
        </w:tc>
      </w:tr>
      <w:tr>
        <w:tc>
          <w:tcPr>
            <w:tcW w:type="dxa" w:w="1439"/>
          </w:tcPr>
          <w:p>
            <w:pPr>
              <w:jc w:val="center"/>
            </w:pPr>
            <w:r>
              <w:rPr>
                <w:rFonts w:ascii="宋体" w:hAnsi="宋体"/>
              </w:rPr>
              <w:t>功能优化</w:t>
            </w:r>
          </w:p>
        </w:tc>
        <w:tc>
          <w:tcPr>
            <w:tcW w:type="dxa" w:w="1439"/>
          </w:tcPr>
          <w:p>
            <w:pPr>
              <w:jc w:val="center"/>
            </w:pPr>
            <w:r>
              <w:rPr>
                <w:rFonts w:ascii="宋体" w:hAnsi="宋体"/>
              </w:rPr>
              <w:t>用户反馈/体验改进</w:t>
            </w:r>
          </w:p>
        </w:tc>
        <w:tc>
          <w:tcPr>
            <w:tcW w:type="dxa" w:w="1439"/>
          </w:tcPr>
          <w:p>
            <w:pPr>
              <w:jc w:val="center"/>
            </w:pPr>
            <w:r>
              <w:rPr>
                <w:rFonts w:ascii="宋体" w:hAnsi="宋体"/>
              </w:rPr>
              <w:t>月度</w:t>
            </w:r>
          </w:p>
        </w:tc>
        <w:tc>
          <w:tcPr>
            <w:tcW w:type="dxa" w:w="1439"/>
          </w:tcPr>
          <w:p>
            <w:pPr>
              <w:jc w:val="center"/>
            </w:pPr>
            <w:r>
              <w:rPr>
                <w:rFonts w:ascii="宋体" w:hAnsi="宋体"/>
              </w:rPr>
              <w:t>提前预约（工作日夜间）</w:t>
            </w:r>
          </w:p>
        </w:tc>
        <w:tc>
          <w:tcPr>
            <w:tcW w:type="dxa" w:w="1439"/>
          </w:tcPr>
          <w:p>
            <w:pPr>
              <w:jc w:val="center"/>
            </w:pPr>
            <w:r>
              <w:rPr>
                <w:rFonts w:ascii="宋体" w:hAnsi="宋体"/>
              </w:rPr>
              <w:t>≤15分钟</w:t>
            </w:r>
          </w:p>
        </w:tc>
        <w:tc>
          <w:tcPr>
            <w:tcW w:type="dxa" w:w="1439"/>
          </w:tcPr>
          <w:p>
            <w:pPr>
              <w:jc w:val="center"/>
            </w:pPr>
            <w:r>
              <w:rPr>
                <w:rFonts w:ascii="宋体" w:hAnsi="宋体"/>
              </w:rPr>
              <w:t>灰度放量（1%→100%）</w:t>
            </w:r>
          </w:p>
        </w:tc>
      </w:tr>
      <w:tr>
        <w:tc>
          <w:tcPr>
            <w:tcW w:type="dxa" w:w="1439"/>
          </w:tcPr>
          <w:p>
            <w:pPr>
              <w:jc w:val="center"/>
            </w:pPr>
            <w:r>
              <w:rPr>
                <w:rFonts w:ascii="宋体" w:hAnsi="宋体"/>
              </w:rPr>
              <w:t>版本迭代</w:t>
            </w:r>
          </w:p>
        </w:tc>
        <w:tc>
          <w:tcPr>
            <w:tcW w:type="dxa" w:w="1439"/>
          </w:tcPr>
          <w:p>
            <w:pPr>
              <w:jc w:val="center"/>
            </w:pPr>
            <w:r>
              <w:rPr>
                <w:rFonts w:ascii="宋体" w:hAnsi="宋体"/>
              </w:rPr>
              <w:t>新增模块/架构升级</w:t>
            </w:r>
          </w:p>
        </w:tc>
        <w:tc>
          <w:tcPr>
            <w:tcW w:type="dxa" w:w="1439"/>
          </w:tcPr>
          <w:p>
            <w:pPr>
              <w:jc w:val="center"/>
            </w:pPr>
            <w:r>
              <w:rPr>
                <w:rFonts w:ascii="宋体" w:hAnsi="宋体"/>
              </w:rPr>
              <w:t>季度</w:t>
            </w:r>
          </w:p>
        </w:tc>
        <w:tc>
          <w:tcPr>
            <w:tcW w:type="dxa" w:w="1439"/>
          </w:tcPr>
          <w:p>
            <w:pPr>
              <w:jc w:val="center"/>
            </w:pPr>
            <w:r>
              <w:rPr>
                <w:rFonts w:ascii="宋体" w:hAnsi="宋体"/>
              </w:rPr>
              <w:t>提前15天公告（周末）</w:t>
            </w:r>
          </w:p>
        </w:tc>
        <w:tc>
          <w:tcPr>
            <w:tcW w:type="dxa" w:w="1439"/>
          </w:tcPr>
          <w:p>
            <w:pPr>
              <w:jc w:val="center"/>
            </w:pPr>
            <w:r>
              <w:rPr>
                <w:rFonts w:ascii="宋体" w:hAnsi="宋体"/>
              </w:rPr>
              <w:t>≤30分钟</w:t>
            </w:r>
          </w:p>
        </w:tc>
        <w:tc>
          <w:tcPr>
            <w:tcW w:type="dxa" w:w="1439"/>
          </w:tcPr>
          <w:p>
            <w:pPr>
              <w:jc w:val="center"/>
            </w:pPr>
            <w:r>
              <w:rPr>
                <w:rFonts w:ascii="宋体" w:hAnsi="宋体"/>
              </w:rPr>
              <w:t>分批次滚动升级</w:t>
            </w:r>
          </w:p>
        </w:tc>
      </w:tr>
    </w:tbl>
    <w:p>
      <w:pPr>
        <w:pStyle w:val="Heading1"/>
      </w:pPr>
      <w:r>
        <w:t>服务记录与满意度回访</w:t>
      </w:r>
    </w:p>
    <w:p>
      <w:r>
        <w:t>为确保服务质量的可追溯性与持续改进，我方将建立完善的服务记录与客户满意度回访机制。该机制涵盖服务工单系统的全面部署、服务过程的全程留痕管理以及科学化、常态化的客户满意度调查体系。</w:t>
      </w:r>
    </w:p>
    <w:p>
      <w:r>
        <w:t>首先，在服务工单系统建设方面，我方将采用先进的信息化管理平台，构建一个集服务请求受理、任务派发、过程跟踪、结果反馈于一体的全流程闭环管理系统。所有服务事项，无论大小，均需通过系统创建工单进行登记。工单内容将详细记录服务类型、客户信息、服务时间、服务地点、服务人员、服务内容、处理过程、解决方案及最终结果等关键信息。系统具备自动编号、状态追踪（如待处理、处理中、已解决、已关闭）和超时预警功能，确保每一项服务需求都能得到及时响应和有效处置。同时，系统支持移动端操作，服务人员可在现场实时更新工单状态并上传服务照片、视频等多媒体证据，实现服务过程的可视化与透明化管理。</w:t>
      </w:r>
    </w:p>
    <w:p>
      <w:r>
        <w:t>其次，为实现服务过程的全程留痕，我方将严格执行“一事一单、一单到底”的原则。从客户首次提出需求开始，到服务完成后的最终确认，整个生命周期内的每一个环节都将被清晰地记录在工单系统中。这包括但不限于：客户沟通记录（电话录音、微信/邮件往来）、现场勘查情况、故障诊断报告、维修或保养操作步骤、更换配件清单、测试验证结果以及客户的验收签字等。所有电子文档和数据均存储于安全可靠的云端服务器，并进行定期备份，确保信息的完整性、真实性和不可篡改性。这种全程留痕的管理模式，不仅为服务质量的内部审计和责任追溯提供了坚实的数据支撑，也为后续可能出现的争议提供了客观、公正的依据。</w:t>
      </w:r>
    </w:p>
    <w:p>
      <w:r>
        <w:t>最后，为持续提升服务水平，我方将建立定期的客户满意度回访制度。在每一项服务工单成功关闭后24小时内，我方的客户服务专员将通过电话、短信或在线问卷等方式主动联系客户，开展满意度调查。调查内容将围绕服务响应速度、服务人员专业素养、服务态度、问题解决效果、整体服务体验等多个维度展开，采用标准化的评分量表（如1-5分制）进行量化评估。对于客户提出的表扬，我们将纳入员工绩效考核予以激励；对于客户反映的问题或建议，我们将启动专项分析流程，深入查找根源，并制定切实可行的改进措施，明确责任人和整改时限，形成PDCA（计划-执行-检查-改进）循环。此外，我方还将每季度汇总分析所有回访数据，生成《客户满意度分析报告》，识别服务短板，预测潜在风险，并据此优化服务流程、加强人员培训，从而实现服务质量的螺旋式上升。通过这一系列举措，我们致力于打造以客户为中心的服务文化，不断提升客户信任度与忠诚度。</w:t>
      </w:r>
    </w:p>
    <w:p>
      <w:pPr>
        <w:pStyle w:val="Heading1"/>
      </w:pPr>
      <w:r>
        <w:t>备品备件与应急支持</w:t>
      </w:r>
    </w:p>
    <w:p>
      <w:r>
        <w:t>为确保系统在突发故障情况下能够快速恢复运行，最大限度减少停机时间，我方郑重承诺建立完善的备品备件管理体系与应急支持机制。本方案结合项目实际需求，立足本地化服务优势，构建覆盖全生命周期的高效响应体系。</w:t>
      </w:r>
    </w:p>
    <w:p>
      <w:r>
        <w:t>我方将在项目所在地设立专用备件仓库，实施“常备+动态补充”的库存管理模式，确保关键设备常用备件100%本地储备。仓库选址位于项目现场5公里范围内，交通便利，具备恒温、防尘、防静电等专业存储条件，所有备件均按照原厂规范进行封装与保养，并由专人负责日常管理与定期巡检。针对本次项目，我们已根据设备清单和技术参数，识别出23类核心易损部件及消耗品，包括主控板卡、电源模块、传感器单元、通信接口卡、专用连接线缆等，均已纳入本地储备目录。所有备件均直接采购自原厂或经原厂认证的正规渠道，确保与现有设备完全兼容，杜绝因配件不匹配导致的二次故障风险。具体储备清单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备件名称</w:t>
            </w:r>
          </w:p>
        </w:tc>
        <w:tc>
          <w:tcPr>
            <w:tcW w:type="dxa" w:w="1439"/>
          </w:tcPr>
          <w:p>
            <w:pPr>
              <w:jc w:val="center"/>
            </w:pPr>
            <w:r>
              <w:rPr>
                <w:rFonts w:ascii="黑体" w:hAnsi="黑体"/>
                <w:b/>
              </w:rPr>
              <w:t>型号规格</w:t>
            </w:r>
          </w:p>
        </w:tc>
        <w:tc>
          <w:tcPr>
            <w:tcW w:type="dxa" w:w="1439"/>
          </w:tcPr>
          <w:p>
            <w:pPr>
              <w:jc w:val="center"/>
            </w:pPr>
            <w:r>
              <w:rPr>
                <w:rFonts w:ascii="黑体" w:hAnsi="黑体"/>
                <w:b/>
              </w:rPr>
              <w:t>单位</w:t>
            </w:r>
          </w:p>
        </w:tc>
        <w:tc>
          <w:tcPr>
            <w:tcW w:type="dxa" w:w="1439"/>
          </w:tcPr>
          <w:p>
            <w:pPr>
              <w:jc w:val="center"/>
            </w:pPr>
            <w:r>
              <w:rPr>
                <w:rFonts w:ascii="黑体" w:hAnsi="黑体"/>
                <w:b/>
              </w:rPr>
              <w:t>本地储备数量</w:t>
            </w:r>
          </w:p>
        </w:tc>
        <w:tc>
          <w:tcPr>
            <w:tcW w:type="dxa" w:w="1439"/>
          </w:tcPr>
          <w:p>
            <w:pPr>
              <w:jc w:val="center"/>
            </w:pPr>
            <w:r>
              <w:rPr>
                <w:rFonts w:ascii="黑体" w:hAnsi="黑体"/>
                <w:b/>
              </w:rPr>
              <w:t>最低安全库存</w:t>
            </w:r>
          </w:p>
        </w:tc>
        <w:tc>
          <w:tcPr>
            <w:tcW w:type="dxa" w:w="1439"/>
          </w:tcPr>
          <w:p>
            <w:pPr>
              <w:jc w:val="center"/>
            </w:pPr>
            <w:r>
              <w:rPr>
                <w:rFonts w:ascii="黑体" w:hAnsi="黑体"/>
                <w:b/>
              </w:rPr>
              <w:t>补充周期</w:t>
            </w:r>
          </w:p>
        </w:tc>
      </w:tr>
      <w:tr>
        <w:tc>
          <w:tcPr>
            <w:tcW w:type="dxa" w:w="1439"/>
          </w:tcPr>
          <w:p>
            <w:pPr>
              <w:jc w:val="center"/>
            </w:pPr>
            <w:r>
              <w:rPr>
                <w:rFonts w:ascii="宋体" w:hAnsi="宋体"/>
              </w:rPr>
              <w:t>主控处理板</w:t>
            </w:r>
          </w:p>
        </w:tc>
        <w:tc>
          <w:tcPr>
            <w:tcW w:type="dxa" w:w="1439"/>
          </w:tcPr>
          <w:p>
            <w:pPr>
              <w:jc w:val="center"/>
            </w:pPr>
            <w:r>
              <w:rPr>
                <w:rFonts w:ascii="宋体" w:hAnsi="宋体"/>
              </w:rPr>
              <w:t>MPC-8000X</w:t>
            </w:r>
          </w:p>
        </w:tc>
        <w:tc>
          <w:tcPr>
            <w:tcW w:type="dxa" w:w="1439"/>
          </w:tcPr>
          <w:p>
            <w:pPr>
              <w:jc w:val="center"/>
            </w:pPr>
            <w:r>
              <w:rPr>
                <w:rFonts w:ascii="宋体" w:hAnsi="宋体"/>
              </w:rPr>
              <w:t>块</w:t>
            </w:r>
          </w:p>
        </w:tc>
        <w:tc>
          <w:tcPr>
            <w:tcW w:type="dxa" w:w="1439"/>
          </w:tcPr>
          <w:p>
            <w:pPr>
              <w:jc w:val="center"/>
            </w:pPr>
            <w:r>
              <w:rPr>
                <w:rFonts w:ascii="宋体" w:hAnsi="宋体"/>
              </w:rPr>
              <w:t>4</w:t>
            </w:r>
          </w:p>
        </w:tc>
        <w:tc>
          <w:tcPr>
            <w:tcW w:type="dxa" w:w="1439"/>
          </w:tcPr>
          <w:p>
            <w:pPr>
              <w:jc w:val="center"/>
            </w:pPr>
            <w:r>
              <w:rPr>
                <w:rFonts w:ascii="宋体" w:hAnsi="宋体"/>
              </w:rPr>
              <w:t>2</w:t>
            </w:r>
          </w:p>
        </w:tc>
        <w:tc>
          <w:tcPr>
            <w:tcW w:type="dxa" w:w="1439"/>
          </w:tcPr>
          <w:p>
            <w:pPr>
              <w:jc w:val="center"/>
            </w:pPr>
            <w:r>
              <w:rPr>
                <w:rFonts w:ascii="宋体" w:hAnsi="宋体"/>
              </w:rPr>
              <w:t>72小时</w:t>
            </w:r>
          </w:p>
        </w:tc>
      </w:tr>
      <w:tr>
        <w:tc>
          <w:tcPr>
            <w:tcW w:type="dxa" w:w="1439"/>
          </w:tcPr>
          <w:p>
            <w:pPr>
              <w:jc w:val="center"/>
            </w:pPr>
            <w:r>
              <w:rPr>
                <w:rFonts w:ascii="宋体" w:hAnsi="宋体"/>
              </w:rPr>
              <w:t>冗余电源模块</w:t>
            </w:r>
          </w:p>
        </w:tc>
        <w:tc>
          <w:tcPr>
            <w:tcW w:type="dxa" w:w="1439"/>
          </w:tcPr>
          <w:p>
            <w:pPr>
              <w:jc w:val="center"/>
            </w:pPr>
            <w:r>
              <w:rPr>
                <w:rFonts w:ascii="宋体" w:hAnsi="宋体"/>
              </w:rPr>
              <w:t>PSU-RD24V/5A</w:t>
            </w:r>
          </w:p>
        </w:tc>
        <w:tc>
          <w:tcPr>
            <w:tcW w:type="dxa" w:w="1439"/>
          </w:tcPr>
          <w:p>
            <w:pPr>
              <w:jc w:val="center"/>
            </w:pPr>
            <w:r>
              <w:rPr>
                <w:rFonts w:ascii="宋体" w:hAnsi="宋体"/>
              </w:rPr>
              <w:t>个</w:t>
            </w:r>
          </w:p>
        </w:tc>
        <w:tc>
          <w:tcPr>
            <w:tcW w:type="dxa" w:w="1439"/>
          </w:tcPr>
          <w:p>
            <w:pPr>
              <w:jc w:val="center"/>
            </w:pPr>
            <w:r>
              <w:rPr>
                <w:rFonts w:ascii="宋体" w:hAnsi="宋体"/>
              </w:rPr>
              <w:t>6</w:t>
            </w:r>
          </w:p>
        </w:tc>
        <w:tc>
          <w:tcPr>
            <w:tcW w:type="dxa" w:w="1439"/>
          </w:tcPr>
          <w:p>
            <w:pPr>
              <w:jc w:val="center"/>
            </w:pPr>
            <w:r>
              <w:rPr>
                <w:rFonts w:ascii="宋体" w:hAnsi="宋体"/>
              </w:rPr>
              <w:t>3</w:t>
            </w:r>
          </w:p>
        </w:tc>
        <w:tc>
          <w:tcPr>
            <w:tcW w:type="dxa" w:w="1439"/>
          </w:tcPr>
          <w:p>
            <w:pPr>
              <w:jc w:val="center"/>
            </w:pPr>
            <w:r>
              <w:rPr>
                <w:rFonts w:ascii="宋体" w:hAnsi="宋体"/>
              </w:rPr>
              <w:t>72小时</w:t>
            </w:r>
          </w:p>
        </w:tc>
      </w:tr>
      <w:tr>
        <w:tc>
          <w:tcPr>
            <w:tcW w:type="dxa" w:w="1439"/>
          </w:tcPr>
          <w:p>
            <w:pPr>
              <w:jc w:val="center"/>
            </w:pPr>
            <w:r>
              <w:rPr>
                <w:rFonts w:ascii="宋体" w:hAnsi="宋体"/>
              </w:rPr>
              <w:t>核心传感器单元</w:t>
            </w:r>
          </w:p>
        </w:tc>
        <w:tc>
          <w:tcPr>
            <w:tcW w:type="dxa" w:w="1439"/>
          </w:tcPr>
          <w:p>
            <w:pPr>
              <w:jc w:val="center"/>
            </w:pPr>
            <w:r>
              <w:rPr>
                <w:rFonts w:ascii="宋体" w:hAnsi="宋体"/>
              </w:rPr>
              <w:t>SENS-PRO-X</w:t>
            </w:r>
          </w:p>
        </w:tc>
        <w:tc>
          <w:tcPr>
            <w:tcW w:type="dxa" w:w="1439"/>
          </w:tcPr>
          <w:p>
            <w:pPr>
              <w:jc w:val="center"/>
            </w:pPr>
            <w:r>
              <w:rPr>
                <w:rFonts w:ascii="宋体" w:hAnsi="宋体"/>
              </w:rPr>
              <w:t>组</w:t>
            </w:r>
          </w:p>
        </w:tc>
        <w:tc>
          <w:tcPr>
            <w:tcW w:type="dxa" w:w="1439"/>
          </w:tcPr>
          <w:p>
            <w:pPr>
              <w:jc w:val="center"/>
            </w:pPr>
            <w:r>
              <w:rPr>
                <w:rFonts w:ascii="宋体" w:hAnsi="宋体"/>
              </w:rPr>
              <w:t>8</w:t>
            </w:r>
          </w:p>
        </w:tc>
        <w:tc>
          <w:tcPr>
            <w:tcW w:type="dxa" w:w="1439"/>
          </w:tcPr>
          <w:p>
            <w:pPr>
              <w:jc w:val="center"/>
            </w:pPr>
            <w:r>
              <w:rPr>
                <w:rFonts w:ascii="宋体" w:hAnsi="宋体"/>
              </w:rPr>
              <w:t>4</w:t>
            </w:r>
          </w:p>
        </w:tc>
        <w:tc>
          <w:tcPr>
            <w:tcW w:type="dxa" w:w="1439"/>
          </w:tcPr>
          <w:p>
            <w:pPr>
              <w:jc w:val="center"/>
            </w:pPr>
            <w:r>
              <w:rPr>
                <w:rFonts w:ascii="宋体" w:hAnsi="宋体"/>
              </w:rPr>
              <w:t>72小时</w:t>
            </w:r>
          </w:p>
        </w:tc>
      </w:tr>
      <w:tr>
        <w:tc>
          <w:tcPr>
            <w:tcW w:type="dxa" w:w="1439"/>
          </w:tcPr>
          <w:p>
            <w:pPr>
              <w:jc w:val="center"/>
            </w:pPr>
            <w:r>
              <w:rPr>
                <w:rFonts w:ascii="宋体" w:hAnsi="宋体"/>
              </w:rPr>
              <w:t>光纤通信接口卡</w:t>
            </w:r>
          </w:p>
        </w:tc>
        <w:tc>
          <w:tcPr>
            <w:tcW w:type="dxa" w:w="1439"/>
          </w:tcPr>
          <w:p>
            <w:pPr>
              <w:jc w:val="center"/>
            </w:pPr>
            <w:r>
              <w:rPr>
                <w:rFonts w:ascii="宋体" w:hAnsi="宋体"/>
              </w:rPr>
              <w:t>FIC-GSFP-LC</w:t>
            </w:r>
          </w:p>
        </w:tc>
        <w:tc>
          <w:tcPr>
            <w:tcW w:type="dxa" w:w="1439"/>
          </w:tcPr>
          <w:p>
            <w:pPr>
              <w:jc w:val="center"/>
            </w:pPr>
            <w:r>
              <w:rPr>
                <w:rFonts w:ascii="宋体" w:hAnsi="宋体"/>
              </w:rPr>
              <w:t>块</w:t>
            </w:r>
          </w:p>
        </w:tc>
        <w:tc>
          <w:tcPr>
            <w:tcW w:type="dxa" w:w="1439"/>
          </w:tcPr>
          <w:p>
            <w:pPr>
              <w:jc w:val="center"/>
            </w:pPr>
            <w:r>
              <w:rPr>
                <w:rFonts w:ascii="宋体" w:hAnsi="宋体"/>
              </w:rPr>
              <w:t>5</w:t>
            </w:r>
          </w:p>
        </w:tc>
        <w:tc>
          <w:tcPr>
            <w:tcW w:type="dxa" w:w="1439"/>
          </w:tcPr>
          <w:p>
            <w:pPr>
              <w:jc w:val="center"/>
            </w:pPr>
            <w:r>
              <w:rPr>
                <w:rFonts w:ascii="宋体" w:hAnsi="宋体"/>
              </w:rPr>
              <w:t>2</w:t>
            </w:r>
          </w:p>
        </w:tc>
        <w:tc>
          <w:tcPr>
            <w:tcW w:type="dxa" w:w="1439"/>
          </w:tcPr>
          <w:p>
            <w:pPr>
              <w:jc w:val="center"/>
            </w:pPr>
            <w:r>
              <w:rPr>
                <w:rFonts w:ascii="宋体" w:hAnsi="宋体"/>
              </w:rPr>
              <w:t>72小时</w:t>
            </w:r>
          </w:p>
        </w:tc>
      </w:tr>
      <w:tr>
        <w:tc>
          <w:tcPr>
            <w:tcW w:type="dxa" w:w="1439"/>
          </w:tcPr>
          <w:p>
            <w:pPr>
              <w:jc w:val="center"/>
            </w:pPr>
            <w:r>
              <w:rPr>
                <w:rFonts w:ascii="宋体" w:hAnsi="宋体"/>
              </w:rPr>
              <w:t>工业级以太网交换机</w:t>
            </w:r>
          </w:p>
        </w:tc>
        <w:tc>
          <w:tcPr>
            <w:tcW w:type="dxa" w:w="1439"/>
          </w:tcPr>
          <w:p>
            <w:pPr>
              <w:jc w:val="center"/>
            </w:pPr>
            <w:r>
              <w:rPr>
                <w:rFonts w:ascii="宋体" w:hAnsi="宋体"/>
              </w:rPr>
              <w:t>IES-24GT</w:t>
            </w:r>
          </w:p>
        </w:tc>
        <w:tc>
          <w:tcPr>
            <w:tcW w:type="dxa" w:w="1439"/>
          </w:tcPr>
          <w:p>
            <w:pPr>
              <w:jc w:val="center"/>
            </w:pPr>
            <w:r>
              <w:rPr>
                <w:rFonts w:ascii="宋体" w:hAnsi="宋体"/>
              </w:rPr>
              <w:t>台</w:t>
            </w:r>
          </w:p>
        </w:tc>
        <w:tc>
          <w:tcPr>
            <w:tcW w:type="dxa" w:w="1439"/>
          </w:tcPr>
          <w:p>
            <w:pPr>
              <w:jc w:val="center"/>
            </w:pPr>
            <w:r>
              <w:rPr>
                <w:rFonts w:ascii="宋体" w:hAnsi="宋体"/>
              </w:rPr>
              <w:t>2</w:t>
            </w:r>
          </w:p>
        </w:tc>
        <w:tc>
          <w:tcPr>
            <w:tcW w:type="dxa" w:w="1439"/>
          </w:tcPr>
          <w:p>
            <w:pPr>
              <w:jc w:val="center"/>
            </w:pPr>
            <w:r>
              <w:rPr>
                <w:rFonts w:ascii="宋体" w:hAnsi="宋体"/>
              </w:rPr>
              <w:t>1</w:t>
            </w:r>
          </w:p>
        </w:tc>
        <w:tc>
          <w:tcPr>
            <w:tcW w:type="dxa" w:w="1439"/>
          </w:tcPr>
          <w:p>
            <w:pPr>
              <w:jc w:val="center"/>
            </w:pPr>
            <w:r>
              <w:rPr>
                <w:rFonts w:ascii="宋体" w:hAnsi="宋体"/>
              </w:rPr>
              <w:t>72小时</w:t>
            </w:r>
          </w:p>
        </w:tc>
      </w:tr>
      <w:tr>
        <w:tc>
          <w:tcPr>
            <w:tcW w:type="dxa" w:w="1439"/>
          </w:tcPr>
          <w:p>
            <w:pPr>
              <w:jc w:val="center"/>
            </w:pPr>
            <w:r>
              <w:rPr>
                <w:rFonts w:ascii="宋体" w:hAnsi="宋体"/>
              </w:rPr>
              <w:t>专用数据采集卡</w:t>
            </w:r>
          </w:p>
        </w:tc>
        <w:tc>
          <w:tcPr>
            <w:tcW w:type="dxa" w:w="1439"/>
          </w:tcPr>
          <w:p>
            <w:pPr>
              <w:jc w:val="center"/>
            </w:pPr>
            <w:r>
              <w:rPr>
                <w:rFonts w:ascii="宋体" w:hAnsi="宋体"/>
              </w:rPr>
              <w:t>DAC-PCIe-16CH</w:t>
            </w:r>
          </w:p>
        </w:tc>
        <w:tc>
          <w:tcPr>
            <w:tcW w:type="dxa" w:w="1439"/>
          </w:tcPr>
          <w:p>
            <w:pPr>
              <w:jc w:val="center"/>
            </w:pPr>
            <w:r>
              <w:rPr>
                <w:rFonts w:ascii="宋体" w:hAnsi="宋体"/>
              </w:rPr>
              <w:t>块</w:t>
            </w:r>
          </w:p>
        </w:tc>
        <w:tc>
          <w:tcPr>
            <w:tcW w:type="dxa" w:w="1439"/>
          </w:tcPr>
          <w:p>
            <w:pPr>
              <w:jc w:val="center"/>
            </w:pPr>
            <w:r>
              <w:rPr>
                <w:rFonts w:ascii="宋体" w:hAnsi="宋体"/>
              </w:rPr>
              <w:t>3</w:t>
            </w:r>
          </w:p>
        </w:tc>
        <w:tc>
          <w:tcPr>
            <w:tcW w:type="dxa" w:w="1439"/>
          </w:tcPr>
          <w:p>
            <w:pPr>
              <w:jc w:val="center"/>
            </w:pPr>
            <w:r>
              <w:rPr>
                <w:rFonts w:ascii="宋体" w:hAnsi="宋体"/>
              </w:rPr>
              <w:t>1</w:t>
            </w:r>
          </w:p>
        </w:tc>
        <w:tc>
          <w:tcPr>
            <w:tcW w:type="dxa" w:w="1439"/>
          </w:tcPr>
          <w:p>
            <w:pPr>
              <w:jc w:val="center"/>
            </w:pPr>
            <w:r>
              <w:rPr>
                <w:rFonts w:ascii="宋体" w:hAnsi="宋体"/>
              </w:rPr>
              <w:t>72小时</w:t>
            </w:r>
          </w:p>
        </w:tc>
      </w:tr>
      <w:tr>
        <w:tc>
          <w:tcPr>
            <w:tcW w:type="dxa" w:w="1439"/>
          </w:tcPr>
          <w:p>
            <w:pPr>
              <w:jc w:val="center"/>
            </w:pPr>
            <w:r>
              <w:rPr>
                <w:rFonts w:ascii="宋体" w:hAnsi="宋体"/>
              </w:rPr>
              <w:t>高精度时钟同步模块</w:t>
            </w:r>
          </w:p>
        </w:tc>
        <w:tc>
          <w:tcPr>
            <w:tcW w:type="dxa" w:w="1439"/>
          </w:tcPr>
          <w:p>
            <w:pPr>
              <w:jc w:val="center"/>
            </w:pPr>
            <w:r>
              <w:rPr>
                <w:rFonts w:ascii="宋体" w:hAnsi="宋体"/>
              </w:rPr>
              <w:t>NTP-SYNC-HC</w:t>
            </w:r>
          </w:p>
        </w:tc>
        <w:tc>
          <w:tcPr>
            <w:tcW w:type="dxa" w:w="1439"/>
          </w:tcPr>
          <w:p>
            <w:pPr>
              <w:jc w:val="center"/>
            </w:pPr>
            <w:r>
              <w:rPr>
                <w:rFonts w:ascii="宋体" w:hAnsi="宋体"/>
              </w:rPr>
              <w:t>个</w:t>
            </w:r>
          </w:p>
        </w:tc>
        <w:tc>
          <w:tcPr>
            <w:tcW w:type="dxa" w:w="1439"/>
          </w:tcPr>
          <w:p>
            <w:pPr>
              <w:jc w:val="center"/>
            </w:pPr>
            <w:r>
              <w:rPr>
                <w:rFonts w:ascii="宋体" w:hAnsi="宋体"/>
              </w:rPr>
              <w:t>2</w:t>
            </w:r>
          </w:p>
        </w:tc>
        <w:tc>
          <w:tcPr>
            <w:tcW w:type="dxa" w:w="1439"/>
          </w:tcPr>
          <w:p>
            <w:pPr>
              <w:jc w:val="center"/>
            </w:pPr>
            <w:r>
              <w:rPr>
                <w:rFonts w:ascii="宋体" w:hAnsi="宋体"/>
              </w:rPr>
              <w:t>1</w:t>
            </w:r>
          </w:p>
        </w:tc>
        <w:tc>
          <w:tcPr>
            <w:tcW w:type="dxa" w:w="1439"/>
          </w:tcPr>
          <w:p>
            <w:pPr>
              <w:jc w:val="center"/>
            </w:pPr>
            <w:r>
              <w:rPr>
                <w:rFonts w:ascii="宋体" w:hAnsi="宋体"/>
              </w:rPr>
              <w:t>72小时</w:t>
            </w:r>
          </w:p>
        </w:tc>
      </w:tr>
      <w:tr>
        <w:tc>
          <w:tcPr>
            <w:tcW w:type="dxa" w:w="1439"/>
          </w:tcPr>
          <w:p>
            <w:pPr>
              <w:jc w:val="center"/>
            </w:pPr>
            <w:r>
              <w:rPr>
                <w:rFonts w:ascii="宋体" w:hAnsi="宋体"/>
              </w:rPr>
              <w:t>人机交互触摸屏</w:t>
            </w:r>
          </w:p>
        </w:tc>
        <w:tc>
          <w:tcPr>
            <w:tcW w:type="dxa" w:w="1439"/>
          </w:tcPr>
          <w:p>
            <w:pPr>
              <w:jc w:val="center"/>
            </w:pPr>
            <w:r>
              <w:rPr>
                <w:rFonts w:ascii="宋体" w:hAnsi="宋体"/>
              </w:rPr>
              <w:t>HMI-TFT-15.6</w:t>
            </w:r>
          </w:p>
        </w:tc>
        <w:tc>
          <w:tcPr>
            <w:tcW w:type="dxa" w:w="1439"/>
          </w:tcPr>
          <w:p>
            <w:pPr>
              <w:jc w:val="center"/>
            </w:pPr>
            <w:r>
              <w:rPr>
                <w:rFonts w:ascii="宋体" w:hAnsi="宋体"/>
              </w:rPr>
              <w:t>套</w:t>
            </w:r>
          </w:p>
        </w:tc>
        <w:tc>
          <w:tcPr>
            <w:tcW w:type="dxa" w:w="1439"/>
          </w:tcPr>
          <w:p>
            <w:pPr>
              <w:jc w:val="center"/>
            </w:pPr>
            <w:r>
              <w:rPr>
                <w:rFonts w:ascii="宋体" w:hAnsi="宋体"/>
              </w:rPr>
              <w:t>2</w:t>
            </w:r>
          </w:p>
        </w:tc>
        <w:tc>
          <w:tcPr>
            <w:tcW w:type="dxa" w:w="1439"/>
          </w:tcPr>
          <w:p>
            <w:pPr>
              <w:jc w:val="center"/>
            </w:pPr>
            <w:r>
              <w:rPr>
                <w:rFonts w:ascii="宋体" w:hAnsi="宋体"/>
              </w:rPr>
              <w:t>1</w:t>
            </w:r>
          </w:p>
        </w:tc>
        <w:tc>
          <w:tcPr>
            <w:tcW w:type="dxa" w:w="1439"/>
          </w:tcPr>
          <w:p>
            <w:pPr>
              <w:jc w:val="center"/>
            </w:pPr>
            <w:r>
              <w:rPr>
                <w:rFonts w:ascii="宋体" w:hAnsi="宋体"/>
              </w:rPr>
              <w:t>72小时</w:t>
            </w:r>
          </w:p>
        </w:tc>
      </w:tr>
      <w:tr>
        <w:tc>
          <w:tcPr>
            <w:tcW w:type="dxa" w:w="1439"/>
          </w:tcPr>
          <w:p>
            <w:pPr>
              <w:jc w:val="center"/>
            </w:pPr>
            <w:r>
              <w:rPr>
                <w:rFonts w:ascii="宋体" w:hAnsi="宋体"/>
              </w:rPr>
              <w:t>系统专用固态硬盘</w:t>
            </w:r>
          </w:p>
        </w:tc>
        <w:tc>
          <w:tcPr>
            <w:tcW w:type="dxa" w:w="1439"/>
          </w:tcPr>
          <w:p>
            <w:pPr>
              <w:jc w:val="center"/>
            </w:pPr>
            <w:r>
              <w:rPr>
                <w:rFonts w:ascii="宋体" w:hAnsi="宋体"/>
              </w:rPr>
              <w:t>SSD-IND-2TB</w:t>
            </w:r>
          </w:p>
        </w:tc>
        <w:tc>
          <w:tcPr>
            <w:tcW w:type="dxa" w:w="1439"/>
          </w:tcPr>
          <w:p>
            <w:pPr>
              <w:jc w:val="center"/>
            </w:pPr>
            <w:r>
              <w:rPr>
                <w:rFonts w:ascii="宋体" w:hAnsi="宋体"/>
              </w:rPr>
              <w:t>块</w:t>
            </w:r>
          </w:p>
        </w:tc>
        <w:tc>
          <w:tcPr>
            <w:tcW w:type="dxa" w:w="1439"/>
          </w:tcPr>
          <w:p>
            <w:pPr>
              <w:jc w:val="center"/>
            </w:pPr>
            <w:r>
              <w:rPr>
                <w:rFonts w:ascii="宋体" w:hAnsi="宋体"/>
              </w:rPr>
              <w:t>4</w:t>
            </w:r>
          </w:p>
        </w:tc>
        <w:tc>
          <w:tcPr>
            <w:tcW w:type="dxa" w:w="1439"/>
          </w:tcPr>
          <w:p>
            <w:pPr>
              <w:jc w:val="center"/>
            </w:pPr>
            <w:r>
              <w:rPr>
                <w:rFonts w:ascii="宋体" w:hAnsi="宋体"/>
              </w:rPr>
              <w:t>2</w:t>
            </w:r>
          </w:p>
        </w:tc>
        <w:tc>
          <w:tcPr>
            <w:tcW w:type="dxa" w:w="1439"/>
          </w:tcPr>
          <w:p>
            <w:pPr>
              <w:jc w:val="center"/>
            </w:pPr>
            <w:r>
              <w:rPr>
                <w:rFonts w:ascii="宋体" w:hAnsi="宋体"/>
              </w:rPr>
              <w:t>72小时</w:t>
            </w:r>
          </w:p>
        </w:tc>
      </w:tr>
      <w:tr>
        <w:tc>
          <w:tcPr>
            <w:tcW w:type="dxa" w:w="1439"/>
          </w:tcPr>
          <w:p>
            <w:pPr>
              <w:jc w:val="center"/>
            </w:pPr>
            <w:r>
              <w:rPr>
                <w:rFonts w:ascii="宋体" w:hAnsi="宋体"/>
              </w:rPr>
              <w:t>关键继电器阵列</w:t>
            </w:r>
          </w:p>
        </w:tc>
        <w:tc>
          <w:tcPr>
            <w:tcW w:type="dxa" w:w="1439"/>
          </w:tcPr>
          <w:p>
            <w:pPr>
              <w:jc w:val="center"/>
            </w:pPr>
            <w:r>
              <w:rPr>
                <w:rFonts w:ascii="宋体" w:hAnsi="宋体"/>
              </w:rPr>
              <w:t>RELAY-MATRIX-16</w:t>
            </w:r>
          </w:p>
        </w:tc>
        <w:tc>
          <w:tcPr>
            <w:tcW w:type="dxa" w:w="1439"/>
          </w:tcPr>
          <w:p>
            <w:pPr>
              <w:jc w:val="center"/>
            </w:pPr>
            <w:r>
              <w:rPr>
                <w:rFonts w:ascii="宋体" w:hAnsi="宋体"/>
              </w:rPr>
              <w:t>套</w:t>
            </w:r>
          </w:p>
        </w:tc>
        <w:tc>
          <w:tcPr>
            <w:tcW w:type="dxa" w:w="1439"/>
          </w:tcPr>
          <w:p>
            <w:pPr>
              <w:jc w:val="center"/>
            </w:pPr>
            <w:r>
              <w:rPr>
                <w:rFonts w:ascii="宋体" w:hAnsi="宋体"/>
              </w:rPr>
              <w:t>3</w:t>
            </w:r>
          </w:p>
        </w:tc>
        <w:tc>
          <w:tcPr>
            <w:tcW w:type="dxa" w:w="1439"/>
          </w:tcPr>
          <w:p>
            <w:pPr>
              <w:jc w:val="center"/>
            </w:pPr>
            <w:r>
              <w:rPr>
                <w:rFonts w:ascii="宋体" w:hAnsi="宋体"/>
              </w:rPr>
              <w:t>1</w:t>
            </w:r>
          </w:p>
        </w:tc>
        <w:tc>
          <w:tcPr>
            <w:tcW w:type="dxa" w:w="1439"/>
          </w:tcPr>
          <w:p>
            <w:pPr>
              <w:jc w:val="center"/>
            </w:pPr>
            <w:r>
              <w:rPr>
                <w:rFonts w:ascii="宋体" w:hAnsi="宋体"/>
              </w:rPr>
              <w:t>72小时</w:t>
            </w:r>
          </w:p>
        </w:tc>
      </w:tr>
    </w:tbl>
    <w:p>
      <w:r>
        <w:t>在应急响应方面，我方建立了“分级响应、精准调度”的7×24小时全天候保障机制。一旦接到故障报修，技术支持中心将立即启动应急流程：一级响应（常规故障）：技术工程师在15分钟内电话响应，通过远程诊断确认问题性质，若判定为备件故障且本地有库存，立即安排备件出库；维修工程师携带备件在30分钟内抵达现场，完成更换并恢复系统功能，全程不超过60分钟。二级响应（复杂故障）：对于涉及多部件协同或软件深度调试的复杂问题，在启动一级响应的同时，自动升级至高级工程师团队介入，提供远程专家会诊支持，确保诊断准确性。三级响应（重大故障）：当发生可能导致系统瘫痪的重大故障时，立即启动应急预案，调动所有可用资源，包括后备技术小组和备用整机设备，确保在最短时间内恢复核心业务功能。我们承诺，对于所有硬件类故障，从接报到修复完成的平均时间不超过2小时，重大故障修复时间不超过4小时。</w:t>
      </w:r>
    </w:p>
    <w:p>
      <w:r>
        <w:t>此外，我方建立了备件库存的智能预警系统，该系统与本地仓库的实物库存实时联动。当任一备件库存量低于预设的“最低安全库存”时，系统将自动触发补货工单，通知供应链部门启动紧急采购程序，并同步向项目负责人发送预警信息。通过“消耗-预警-补货”闭环管理，确保库存始终处于健康水平，杜绝因备件短缺导致的延误。同时，我们每季度对备件使用情况进行分析，优化储备结构，淘汰老旧型号，引入新型号备件，确保备件库与技术发展同步。综上所述，我方通过本地化仓储、科学化储备、智能化管理和专业化团队，构建了坚实的备品备件与应急支持体系，为项目的长期稳定、高效运行提供了强有力的保障。</w:t>
      </w:r>
    </w:p>
    <w:p>
      <w:pPr>
        <w:pStyle w:val="Heading1"/>
      </w:pPr>
      <w:r>
        <w:t>服务期满后的延续支持</w:t>
      </w:r>
    </w:p>
    <w:p>
      <w:r>
        <w:t>为确保系统在服务期满后仍能稳定、高效运行，我方高度重视服务延续性支持工作，特制定完善的服务期满后续维保方案。本方案旨在为客户提供灵活、可持续的技术支持选项，并结合实际运维需求提出合理的收费标准建议，确保客户在系统生命周期内获得持续、专业的服务保障。</w:t>
      </w:r>
    </w:p>
    <w:p>
      <w:r>
        <w:t>一、技术支持选项</w:t>
      </w:r>
    </w:p>
    <w:p>
      <w:pPr>
        <w:pStyle w:val="ListNumber"/>
      </w:pPr>
      <w:r>
        <w:t>延续性维护服务（Extended Maintenance Service, EMS）</w:t>
      </w:r>
    </w:p>
    <w:p>
      <w:r>
        <w:t>服务期满后，客户可选择继续购买我方提供的延续性维护服务，服务内容包括：</w:t>
      </w:r>
    </w:p>
    <w:p>
      <w:pPr>
        <w:pStyle w:val="ListBullet"/>
      </w:pPr>
      <w:r>
        <w:t>系统日常巡检与健康状态评估，每月提供一次系统运行报告；</w:t>
      </w:r>
    </w:p>
    <w:p>
      <w:pPr>
        <w:pStyle w:val="ListBullet"/>
      </w:pPr>
      <w:r>
        <w:t>故障响应支持：7×24小时技术支持热线，承诺一级故障2小时内响应，4小时内远程处理，必要时安排工程师现场支持；</w:t>
      </w:r>
    </w:p>
    <w:p>
      <w:pPr>
        <w:pStyle w:val="ListBullet"/>
      </w:pPr>
      <w:r>
        <w:t>软件版本升级与补丁推送：定期发布安全补丁、功能优化及兼容性更新，确保系统安全性与稳定性；</w:t>
      </w:r>
    </w:p>
    <w:p>
      <w:pPr>
        <w:pStyle w:val="ListBullet"/>
      </w:pPr>
      <w:r>
        <w:t>数据备份与恢复支持：协助客户执行数据备份策略，提供灾难恢复预案演练支持；</w:t>
      </w:r>
    </w:p>
    <w:p>
      <w:pPr>
        <w:pStyle w:val="ListBullet"/>
      </w:pPr>
      <w:r>
        <w:t>技术咨询与培训：提供操作指导、配置优化建议及关键岗位人员技术复训服务。</w:t>
      </w:r>
    </w:p>
    <w:p>
      <w:pPr>
        <w:pStyle w:val="ListNumber"/>
      </w:pPr>
      <w:r>
        <w:t>按需技术支持服务（Pay-per-Use Support）</w:t>
      </w:r>
    </w:p>
    <w:p>
      <w:r>
        <w:t>针对运维能力较强或使用频率较低的客户，可选择按次计费的技术支持模式。该模式适用于突发性故障排查、配置调整、性能调优等非例行性服务。客户通过工单系统提交服务请求，我方根据服务类型、响应级别和工作量进行计费。</w:t>
      </w:r>
    </w:p>
    <w:p>
      <w:pPr>
        <w:pStyle w:val="ListNumber"/>
      </w:pPr>
      <w:r>
        <w:t>远程监控与预警服务（Remote Monitoring &amp; Alerting Service）</w:t>
      </w:r>
    </w:p>
    <w:p>
      <w:r>
        <w:t>客户可选配远程监控平台接入服务，实现对系统运行状态的实时监测。平台可自动采集CPU、内存、磁盘、网络等关键指标，设置阈值告警，并通过短信、邮件等方式推送异常信息。该服务有助于提前发现潜在风险，提升系统可用性。</w:t>
      </w:r>
    </w:p>
    <w:p>
      <w:r>
        <w:t>二、收费标准建议</w:t>
      </w:r>
    </w:p>
    <w:p>
      <w:r>
        <w:t>为便于客户合理规划预算，我方提供以下三种收费模式供选择：</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rFonts w:ascii="黑体" w:hAnsi="黑体"/>
                <w:b/>
              </w:rPr>
              <w:t>服务类型</w:t>
            </w:r>
          </w:p>
        </w:tc>
        <w:tc>
          <w:tcPr>
            <w:tcW w:type="dxa" w:w="2878"/>
          </w:tcPr>
          <w:p>
            <w:pPr>
              <w:jc w:val="center"/>
            </w:pPr>
            <w:r>
              <w:rPr>
                <w:rFonts w:ascii="黑体" w:hAnsi="黑体"/>
                <w:b/>
              </w:rPr>
              <w:t>收费标准</w:t>
            </w:r>
          </w:p>
        </w:tc>
        <w:tc>
          <w:tcPr>
            <w:tcW w:type="dxa" w:w="2878"/>
          </w:tcPr>
          <w:p>
            <w:pPr>
              <w:jc w:val="center"/>
            </w:pPr>
            <w:r>
              <w:rPr>
                <w:rFonts w:ascii="黑体" w:hAnsi="黑体"/>
                <w:b/>
              </w:rPr>
              <w:t>服务内容说明</w:t>
            </w:r>
          </w:p>
        </w:tc>
      </w:tr>
      <w:tr>
        <w:tc>
          <w:tcPr>
            <w:tcW w:type="dxa" w:w="2878"/>
          </w:tcPr>
          <w:p>
            <w:pPr>
              <w:jc w:val="center"/>
            </w:pPr>
            <w:r>
              <w:rPr>
                <w:rFonts w:ascii="宋体" w:hAnsi="宋体"/>
              </w:rPr>
              <w:t>延续性维护服务（年度）</w:t>
            </w:r>
          </w:p>
        </w:tc>
        <w:tc>
          <w:tcPr>
            <w:tcW w:type="dxa" w:w="2878"/>
          </w:tcPr>
          <w:p>
            <w:pPr>
              <w:jc w:val="center"/>
            </w:pPr>
            <w:r>
              <w:rPr>
                <w:rFonts w:ascii="宋体" w:hAnsi="宋体"/>
              </w:rPr>
              <w:t>合同总金额的15% / 年</w:t>
            </w:r>
          </w:p>
        </w:tc>
        <w:tc>
          <w:tcPr>
            <w:tcW w:type="dxa" w:w="2878"/>
          </w:tcPr>
          <w:p>
            <w:pPr>
              <w:jc w:val="center"/>
            </w:pPr>
            <w:r>
              <w:rPr>
                <w:rFonts w:ascii="宋体" w:hAnsi="宋体"/>
              </w:rPr>
              <w:t>包含全年技术支持、软件升级、月度巡检报告、不限次数远程支持及两次现场服务（单次不超过2人日）</w:t>
            </w:r>
          </w:p>
        </w:tc>
      </w:tr>
      <w:tr>
        <w:tc>
          <w:tcPr>
            <w:tcW w:type="dxa" w:w="2878"/>
          </w:tcPr>
          <w:p>
            <w:pPr>
              <w:jc w:val="center"/>
            </w:pPr>
            <w:r>
              <w:rPr>
                <w:rFonts w:ascii="宋体" w:hAnsi="宋体"/>
              </w:rPr>
              <w:t>按需技术支持服务</w:t>
            </w:r>
          </w:p>
        </w:tc>
        <w:tc>
          <w:tcPr>
            <w:tcW w:type="dxa" w:w="2878"/>
          </w:tcPr>
          <w:p>
            <w:pPr>
              <w:jc w:val="center"/>
            </w:pPr>
            <w:r>
              <w:rPr>
                <w:rFonts w:ascii="宋体" w:hAnsi="宋体"/>
              </w:rPr>
              <w:t>1,500元 / 工单</w:t>
            </w:r>
          </w:p>
        </w:tc>
        <w:tc>
          <w:tcPr>
            <w:tcW w:type="dxa" w:w="2878"/>
          </w:tcPr>
          <w:p>
            <w:pPr>
              <w:jc w:val="center"/>
            </w:pPr>
            <w:r>
              <w:rPr>
                <w:rFonts w:ascii="宋体" w:hAnsi="宋体"/>
              </w:rPr>
              <w:t>单次故障处理或技术支持服务，包含问题诊断、解决方案实施及报告交付；复杂问题可按实际人天另行报价</w:t>
            </w:r>
          </w:p>
        </w:tc>
      </w:tr>
      <w:tr>
        <w:tc>
          <w:tcPr>
            <w:tcW w:type="dxa" w:w="2878"/>
          </w:tcPr>
          <w:p>
            <w:pPr>
              <w:jc w:val="center"/>
            </w:pPr>
            <w:r>
              <w:rPr>
                <w:rFonts w:ascii="宋体" w:hAnsi="宋体"/>
              </w:rPr>
              <w:t>远程监控服务</w:t>
            </w:r>
          </w:p>
        </w:tc>
        <w:tc>
          <w:tcPr>
            <w:tcW w:type="dxa" w:w="2878"/>
          </w:tcPr>
          <w:p>
            <w:pPr>
              <w:jc w:val="center"/>
            </w:pPr>
            <w:r>
              <w:rPr>
                <w:rFonts w:ascii="宋体" w:hAnsi="宋体"/>
              </w:rPr>
              <w:t>80,000元 / 年</w:t>
            </w:r>
          </w:p>
        </w:tc>
        <w:tc>
          <w:tcPr>
            <w:tcW w:type="dxa" w:w="2878"/>
          </w:tcPr>
          <w:p>
            <w:pPr>
              <w:jc w:val="center"/>
            </w:pPr>
            <w:r>
              <w:rPr>
                <w:rFonts w:ascii="宋体" w:hAnsi="宋体"/>
              </w:rPr>
              <w:t>包括监控平台部署、系统接入、告警规则配置、7×24小时监控值守及季度健康分析报告</w:t>
            </w:r>
          </w:p>
        </w:tc>
      </w:tr>
    </w:tbl>
    <w:p>
      <w:r>
        <w:t>注：若客户选择延续性维护服务，可享受远程监控服务8折优惠；若累计购买三年以上EMS服务，第四年起年费按合同总金额的12%收取。</w:t>
      </w:r>
    </w:p>
    <w:p>
      <w:r>
        <w:t>三、服务承诺与保障机制</w:t>
      </w:r>
    </w:p>
    <w:p>
      <w:r>
        <w:t>我方承诺所有延续性服务均由原项目核心团队成员或具备同等资质的技术专家提供，确保服务连续性与专业性。同时建立客户专属服务档案，记录历史问题与处理方案，提升服务效率。对于重大系统变更或升级操作，将提前15个工作日提交实施方案并组织评审会议，确保变更过程可控、可追溯。</w:t>
      </w:r>
    </w:p>
    <w:p>
      <w:r>
        <w:t>综上所述，我方提供的服务期满后延续支持方案兼顾灵活性与经济性，既能满足长期稳定运行需求，又为客户提供多样化的成本控制选择，切实保障系统全生命周期内的可用性、安全性与可维护性。</w:t>
      </w:r>
    </w:p>
    <w:p>
      <w:pPr>
        <w:pStyle w:val="Heading1"/>
      </w:pPr>
      <w:r>
        <w:t>企业基本情况介绍</w:t>
      </w:r>
    </w:p>
    <w:p>
      <w:r>
        <w:t>企业基本情况介绍</w:t>
      </w:r>
    </w:p>
    <w:p>
      <w:r>
        <w:t>我公司成立于2005年，注册资本为人民币1.2亿元，是一家专注于智能科技研发与应用的国家级高新技术企业。自成立以来，公司始终坚持创新驱动发展战略，致力于为政府、金融、能源、交通等多个行业提供智能化整体解决方案。经过多年的发展，公司已形成集研发、设计、生产、销售及服务于一体的完整产业链，具备强大的技术实力和丰富的项目实施经验，在行业内树立了良好的品牌形象和市场口碑。</w:t>
      </w:r>
    </w:p>
    <w:p>
      <w:r>
        <w:t>公司的主营业务范围涵盖人工智能技术开发、大数据平台建设、云计算服务、物联网系统集成、智慧城市解决方案以及行业专用软件的研发与运维。具体包括：智能识别系统（如人脸识别、车牌识别）、数据中台与决策支持系统、云基础设施部署与管理、工业互联网平台搭建、城市运行管理中心（IOC）建设、智慧园区管理系统、智能安防监控系统等。同时，公司还提供定制化软件开发、系统集成咨询、项目全生命周期管理及后期技术支持服务，能够根据客户需求提供端到端的一体化解决方案。</w:t>
      </w:r>
    </w:p>
    <w:p>
      <w:r>
        <w:t>在组织架构方面，公司建立了科学高效的现代化管理体系，实行董事会领导下的总经理负责制，下设多个职能部门和业务中心，确保企业运营的专业性与协同性。公司总部位于北京中关村科技园区，设有研发中心、市场营销中心、项目管理中心、财务管理中心、人力资源部、法务合规部、质量管控部及售后服务部等核心部门。其中，研发中心由博士领衔的技术团队组成，分为算法研究部、软件开发部、硬件设计部和测试验证部，持续推动技术创新与产品迭代；项目管理中心配备专业PMP认证项目经理，全面负责项目的进度、成本、质量和风险控制；市场营销中心覆盖全国六大区域，设有华东、华南、华北、华中、西南和西北大区办事处，构建起完善的市场拓展与客户服务体系。</w:t>
      </w:r>
    </w:p>
    <w:p>
      <w:r>
        <w:t>公司现有员工总数达860人，其中技术研发人员占比超过65%，本科及以上学历人员占总人数的82%，拥有一支高素质、专业化的人才队伍。公司高度重视质量管理与体系建设，已通过ISO9001质量管理体系、ISO27001信息安全管理体系、ISO14001环境管理体系及CMMI三级认证，并获得多项国家发明专利和软件著作权。凭借雄厚的技术实力和稳健的经营管理，公司连续多年入选“中国软件百强企业”和“中国科技创新领军企业”，并与中国科学院、清华大学等多家科研机构建立长期合作关系，持续提升自主创新能力和核心竞争力。</w:t>
      </w:r>
    </w:p>
    <w:p>
      <w:r>
        <w:t>作为一家具有社会责任感的企业，公司始终秉持“科技赋能产业，智慧创造价值”的使命，积极参与国家重大信息化建设项目，服务国家战略需求。未来，公司将继续加大研发投入，深化产学研合作，拓展国内外市场，努力打造成为全球领先的智能化解决方案提供商。</w:t>
      </w:r>
    </w:p>
    <w:p>
      <w:pPr>
        <w:pStyle w:val="Heading1"/>
      </w:pPr>
      <w:r>
        <w:t>行业相关资质证书</w:t>
      </w:r>
    </w:p>
    <w:p>
      <w:r>
        <w:t>本公司高度重视资质建设与规范化管理，始终将行业相关资质作为企业核心竞争力的重要组成部分。在长期发展过程中，公司持续投入资源用于提升技术能力、优化管理体系、强化服务质量，已成功取得多项国家级、行业级权威认证，充分体现了公司在技术研发、项目实施、质量管理及信息安全等方面的综合实力。</w:t>
      </w:r>
    </w:p>
    <w:p>
      <w:r>
        <w:t>在高新技术企业认定方面，我公司于2021年通过国家高新技术企业认证（证书编号：GR20214400XXXX），标志着公司在核心技术自主研发、科技成果转化能力、研发组织管理水平以及成长性指标等方面均达到国家标准。该资质不仅彰显了我公司在信息化领域的创新实力，也为参与政府类、科技类项目的投标提供了坚实支撑。公司每年研发投入占营业收入比例超过12%，拥有自主知识产权百余项，涵盖软件著作权、发明专利及实用新型专利，形成了完整的技术壁垒和产品体系。</w:t>
      </w:r>
    </w:p>
    <w:p>
      <w:r>
        <w:t>在信息系统集成领域，我公司具备工业和信息化部颁发的“信息系统集成及服务资质三级”证书（证书编号：XX1032020XXXXX），并在实际项目中严格执行集成项目全生命周期管理流程，涵盖需求分析、方案设计、系统开发、测试验证、部署实施及运维支持等环节。该资质证明我公司具备承担中等规模信息系统集成项目的能力，能够为客户提供从基础设施搭建到应用系统整合的一体化解决方案。近年来，公司已成功实施多个跨平台、多系统的集成项目，涵盖政务云平台、智慧园区管理系统、企业ERP与MES系统对接等复杂场景，获得客户高度评价。</w:t>
      </w:r>
    </w:p>
    <w:p>
      <w:r>
        <w:t>在质量管理体系方面，我公司于2019年首次通过ISO 9001:2015质量管理体系认证（注册号：CN19/90012020XXXXX），并于2022年完成再认证审核。该体系覆盖公司所有业务流程，包括售前咨询、合同管理、项目执行、售后服务及内部运营支持。通过建立标准化的工作流程、明确岗位职责、设置关键控制点和持续改进机制，确保各项服务交付符合客户预期和行业标准。同时，公司配套实施了完善的内审与管理评审制度，定期开展过程审计与绩效评估，推动质量管理水平不断提升。</w:t>
      </w:r>
    </w:p>
    <w:p>
      <w:r>
        <w:t>在信息安全与信息技术服务管理方面，我公司已获得ISO/IEC 27001:2013信息安全管理体系认证（注册号：IS19/270012021XXXXX）和ISO/IEC 20000-1:2018信息技术服务管理体系认证（注册号：IT19/200002021XXXXX）。前者表明公司在信息资产保护、访问控制、网络安全、数据备份与恢复等方面建立了系统化的安全防护机制，能够有效防范数据泄露、网络攻击等风险；后者则证明我公司在IT服务交付、事件管理、变更控制、服务水平协议（SLA）管理等方面具备专业服务能力，可保障客户系统的稳定运行与高效响应。</w:t>
      </w:r>
    </w:p>
    <w:p>
      <w:r>
        <w:t>此外，公司还持有CMMI Institute颁发的CMMI-DEV V3.0三级评估证书（评估编号：CMMI3-2022-XXXX），进一步验证了我公司在软件开发过程规范化、项目管理成熟度及持续改进机制方面的卓越表现。上述资质证书均已按要求整理并随本投标文件附上复印件，真实有效，可供核查。我公司承诺将持续维护并升级各类资质，确保服务能力始终处于行业领先水平，为项目的顺利实施提供全方位保障。</w:t>
      </w:r>
    </w:p>
    <w:p>
      <w:pPr>
        <w:pStyle w:val="Heading1"/>
      </w:pPr>
      <w:r>
        <w:t>获得的主要奖项或荣誉</w:t>
      </w:r>
    </w:p>
    <w:p>
      <w:r>
        <w:t>近三年来，我公司凭借卓越的技术实力、优质的服务水平以及在行业内的突出贡献，获得了多项由政府主管部门及权威行业协会颁发的重要奖项与荣誉。这些荣誉不仅体现了社会各界对我公司在专业领域内综合实力的高度认可，也彰显了我公司在推动行业发展、技术创新和服务升级方面的积极作为。</w:t>
      </w:r>
    </w:p>
    <w:p>
      <w:r>
        <w:t>以下为我公司近三年所获得的主要奖项与荣誉的详细情况：</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获奖时间</w:t>
            </w:r>
          </w:p>
        </w:tc>
        <w:tc>
          <w:tcPr>
            <w:tcW w:type="dxa" w:w="1727"/>
          </w:tcPr>
          <w:p>
            <w:pPr>
              <w:jc w:val="center"/>
            </w:pPr>
            <w:r>
              <w:rPr>
                <w:rFonts w:ascii="黑体" w:hAnsi="黑体"/>
                <w:b/>
              </w:rPr>
              <w:t>奖项名称</w:t>
            </w:r>
          </w:p>
        </w:tc>
        <w:tc>
          <w:tcPr>
            <w:tcW w:type="dxa" w:w="1727"/>
          </w:tcPr>
          <w:p>
            <w:pPr>
              <w:jc w:val="center"/>
            </w:pPr>
            <w:r>
              <w:rPr>
                <w:rFonts w:ascii="黑体" w:hAnsi="黑体"/>
                <w:b/>
              </w:rPr>
              <w:t>颁发单位</w:t>
            </w:r>
          </w:p>
        </w:tc>
        <w:tc>
          <w:tcPr>
            <w:tcW w:type="dxa" w:w="1727"/>
          </w:tcPr>
          <w:p>
            <w:pPr>
              <w:jc w:val="center"/>
            </w:pPr>
            <w:r>
              <w:rPr>
                <w:rFonts w:ascii="黑体" w:hAnsi="黑体"/>
                <w:b/>
              </w:rPr>
              <w:t>奖项级别</w:t>
            </w:r>
          </w:p>
        </w:tc>
        <w:tc>
          <w:tcPr>
            <w:tcW w:type="dxa" w:w="1727"/>
          </w:tcPr>
          <w:p>
            <w:pPr>
              <w:jc w:val="center"/>
            </w:pPr>
            <w:r>
              <w:rPr>
                <w:rFonts w:ascii="黑体" w:hAnsi="黑体"/>
                <w:b/>
              </w:rPr>
              <w:t>评选依据</w:t>
            </w:r>
          </w:p>
        </w:tc>
      </w:tr>
      <w:tr>
        <w:tc>
          <w:tcPr>
            <w:tcW w:type="dxa" w:w="1727"/>
          </w:tcPr>
          <w:p>
            <w:pPr>
              <w:jc w:val="center"/>
            </w:pPr>
            <w:r>
              <w:rPr>
                <w:rFonts w:ascii="宋体" w:hAnsi="宋体"/>
              </w:rPr>
              <w:t>2023年11月</w:t>
            </w:r>
          </w:p>
        </w:tc>
        <w:tc>
          <w:tcPr>
            <w:tcW w:type="dxa" w:w="1727"/>
          </w:tcPr>
          <w:p>
            <w:pPr>
              <w:jc w:val="center"/>
            </w:pPr>
            <w:r>
              <w:rPr>
                <w:rFonts w:ascii="宋体" w:hAnsi="宋体"/>
              </w:rPr>
              <w:t>国家级高新技术企业认定</w:t>
            </w:r>
          </w:p>
        </w:tc>
        <w:tc>
          <w:tcPr>
            <w:tcW w:type="dxa" w:w="1727"/>
          </w:tcPr>
          <w:p>
            <w:pPr>
              <w:jc w:val="center"/>
            </w:pPr>
            <w:r>
              <w:rPr>
                <w:rFonts w:ascii="宋体" w:hAnsi="宋体"/>
              </w:rPr>
              <w:t>科学技术部火炬高技术产业开发中心</w:t>
            </w:r>
          </w:p>
        </w:tc>
        <w:tc>
          <w:tcPr>
            <w:tcW w:type="dxa" w:w="1727"/>
          </w:tcPr>
          <w:p>
            <w:pPr>
              <w:jc w:val="center"/>
            </w:pPr>
            <w:r>
              <w:rPr>
                <w:rFonts w:ascii="宋体" w:hAnsi="宋体"/>
              </w:rPr>
              <w:t>国家级</w:t>
            </w:r>
          </w:p>
        </w:tc>
        <w:tc>
          <w:tcPr>
            <w:tcW w:type="dxa" w:w="1727"/>
          </w:tcPr>
          <w:p>
            <w:pPr>
              <w:jc w:val="center"/>
            </w:pPr>
            <w:r>
              <w:rPr>
                <w:rFonts w:ascii="宋体" w:hAnsi="宋体"/>
              </w:rPr>
              <w:t>经专家评审、公示和备案程序，确认我公司在核心技术研发、科技成果转化能力、自主知识产权数量及企业成长性等方面均达到国家标准，授予“国家高新技术企业”资质。该认定有效期三年，是国家对创新型企业的最高荣誉之一。</w:t>
            </w:r>
          </w:p>
        </w:tc>
      </w:tr>
      <w:tr>
        <w:tc>
          <w:tcPr>
            <w:tcW w:type="dxa" w:w="1727"/>
          </w:tcPr>
          <w:p>
            <w:pPr>
              <w:jc w:val="center"/>
            </w:pPr>
            <w:r>
              <w:rPr>
                <w:rFonts w:ascii="宋体" w:hAnsi="宋体"/>
              </w:rPr>
              <w:t>2023年8月</w:t>
            </w:r>
          </w:p>
        </w:tc>
        <w:tc>
          <w:tcPr>
            <w:tcW w:type="dxa" w:w="1727"/>
          </w:tcPr>
          <w:p>
            <w:pPr>
              <w:jc w:val="center"/>
            </w:pPr>
            <w:r>
              <w:rPr>
                <w:rFonts w:ascii="宋体" w:hAnsi="宋体"/>
              </w:rPr>
              <w:t>中国服务业500强企业</w:t>
            </w:r>
          </w:p>
        </w:tc>
        <w:tc>
          <w:tcPr>
            <w:tcW w:type="dxa" w:w="1727"/>
          </w:tcPr>
          <w:p>
            <w:pPr>
              <w:jc w:val="center"/>
            </w:pPr>
            <w:r>
              <w:rPr>
                <w:rFonts w:ascii="宋体" w:hAnsi="宋体"/>
              </w:rPr>
              <w:t>中国企业联合会、中国企业家协会</w:t>
            </w:r>
          </w:p>
        </w:tc>
        <w:tc>
          <w:tcPr>
            <w:tcW w:type="dxa" w:w="1727"/>
          </w:tcPr>
          <w:p>
            <w:pPr>
              <w:jc w:val="center"/>
            </w:pPr>
            <w:r>
              <w:rPr>
                <w:rFonts w:ascii="宋体" w:hAnsi="宋体"/>
              </w:rPr>
              <w:t>国家级</w:t>
            </w:r>
          </w:p>
        </w:tc>
        <w:tc>
          <w:tcPr>
            <w:tcW w:type="dxa" w:w="1727"/>
          </w:tcPr>
          <w:p>
            <w:pPr>
              <w:jc w:val="center"/>
            </w:pPr>
            <w:r>
              <w:rPr>
                <w:rFonts w:ascii="宋体" w:hAnsi="宋体"/>
              </w:rPr>
              <w:t>依据企业营业收入、盈利能力、创新能力、社会责任等综合指标进行排名，我公司成功入选“2023年中国服务业500强”，位列第387位，标志着企业在服务规模与质量方面已跻身全国领先行列。</w:t>
            </w:r>
          </w:p>
        </w:tc>
      </w:tr>
      <w:tr>
        <w:tc>
          <w:tcPr>
            <w:tcW w:type="dxa" w:w="1727"/>
          </w:tcPr>
          <w:p>
            <w:pPr>
              <w:jc w:val="center"/>
            </w:pPr>
            <w:r>
              <w:rPr>
                <w:rFonts w:ascii="宋体" w:hAnsi="宋体"/>
              </w:rPr>
              <w:t>2023年6月</w:t>
            </w:r>
          </w:p>
        </w:tc>
        <w:tc>
          <w:tcPr>
            <w:tcW w:type="dxa" w:w="1727"/>
          </w:tcPr>
          <w:p>
            <w:pPr>
              <w:jc w:val="center"/>
            </w:pPr>
            <w:r>
              <w:rPr>
                <w:rFonts w:ascii="宋体" w:hAnsi="宋体"/>
              </w:rPr>
              <w:t>全国优质服务示范单位</w:t>
            </w:r>
          </w:p>
        </w:tc>
        <w:tc>
          <w:tcPr>
            <w:tcW w:type="dxa" w:w="1727"/>
          </w:tcPr>
          <w:p>
            <w:pPr>
              <w:jc w:val="center"/>
            </w:pPr>
            <w:r>
              <w:rPr>
                <w:rFonts w:ascii="宋体" w:hAnsi="宋体"/>
              </w:rPr>
              <w:t>中国质量认证监督管理中心</w:t>
            </w:r>
          </w:p>
        </w:tc>
        <w:tc>
          <w:tcPr>
            <w:tcW w:type="dxa" w:w="1727"/>
          </w:tcPr>
          <w:p>
            <w:pPr>
              <w:jc w:val="center"/>
            </w:pPr>
            <w:r>
              <w:rPr>
                <w:rFonts w:ascii="宋体" w:hAnsi="宋体"/>
              </w:rPr>
              <w:t>行业级</w:t>
            </w:r>
          </w:p>
        </w:tc>
        <w:tc>
          <w:tcPr>
            <w:tcW w:type="dxa" w:w="1727"/>
          </w:tcPr>
          <w:p>
            <w:pPr>
              <w:jc w:val="center"/>
            </w:pPr>
            <w:r>
              <w:rPr>
                <w:rFonts w:ascii="宋体" w:hAnsi="宋体"/>
              </w:rPr>
              <w:t>在服务质量管理体系、客户满意度调查、服务流程标准化建设等方面表现优异，经第三方机构审核评估后获评“全国优质服务示范单位”，有效期三年，进一步巩固了我公司在行业服务标杆地位。</w:t>
            </w:r>
          </w:p>
        </w:tc>
      </w:tr>
      <w:tr>
        <w:tc>
          <w:tcPr>
            <w:tcW w:type="dxa" w:w="1727"/>
          </w:tcPr>
          <w:p>
            <w:pPr>
              <w:jc w:val="center"/>
            </w:pPr>
            <w:r>
              <w:rPr>
                <w:rFonts w:ascii="宋体" w:hAnsi="宋体"/>
              </w:rPr>
              <w:t>2022年12月</w:t>
            </w:r>
          </w:p>
        </w:tc>
        <w:tc>
          <w:tcPr>
            <w:tcW w:type="dxa" w:w="1727"/>
          </w:tcPr>
          <w:p>
            <w:pPr>
              <w:jc w:val="center"/>
            </w:pPr>
            <w:r>
              <w:rPr>
                <w:rFonts w:ascii="宋体" w:hAnsi="宋体"/>
              </w:rPr>
              <w:t>省级守合同重信用企业（2021-2022年度）</w:t>
            </w:r>
          </w:p>
        </w:tc>
        <w:tc>
          <w:tcPr>
            <w:tcW w:type="dxa" w:w="1727"/>
          </w:tcPr>
          <w:p>
            <w:pPr>
              <w:jc w:val="center"/>
            </w:pPr>
            <w:r>
              <w:rPr>
                <w:rFonts w:ascii="宋体" w:hAnsi="宋体"/>
              </w:rPr>
              <w:t>XX省市场监督管理局</w:t>
            </w:r>
          </w:p>
        </w:tc>
        <w:tc>
          <w:tcPr>
            <w:tcW w:type="dxa" w:w="1727"/>
          </w:tcPr>
          <w:p>
            <w:pPr>
              <w:jc w:val="center"/>
            </w:pPr>
            <w:r>
              <w:rPr>
                <w:rFonts w:ascii="宋体" w:hAnsi="宋体"/>
              </w:rPr>
              <w:t>省级</w:t>
            </w:r>
          </w:p>
        </w:tc>
        <w:tc>
          <w:tcPr>
            <w:tcW w:type="dxa" w:w="1727"/>
          </w:tcPr>
          <w:p>
            <w:pPr>
              <w:jc w:val="center"/>
            </w:pPr>
            <w:r>
              <w:rPr>
                <w:rFonts w:ascii="宋体" w:hAnsi="宋体"/>
              </w:rPr>
              <w:t>连续多年保持良好信用记录，在合同履约率、依法纳税、消费者权益保护等方面无不良记录，被授予“守合同重信用企业”称号，反映企业诚信经营的良好形象。</w:t>
            </w:r>
          </w:p>
        </w:tc>
      </w:tr>
      <w:tr>
        <w:tc>
          <w:tcPr>
            <w:tcW w:type="dxa" w:w="1727"/>
          </w:tcPr>
          <w:p>
            <w:pPr>
              <w:jc w:val="center"/>
            </w:pPr>
            <w:r>
              <w:rPr>
                <w:rFonts w:ascii="宋体" w:hAnsi="宋体"/>
              </w:rPr>
              <w:t>2022年9月</w:t>
            </w:r>
          </w:p>
        </w:tc>
        <w:tc>
          <w:tcPr>
            <w:tcW w:type="dxa" w:w="1727"/>
          </w:tcPr>
          <w:p>
            <w:pPr>
              <w:jc w:val="center"/>
            </w:pPr>
            <w:r>
              <w:rPr>
                <w:rFonts w:ascii="宋体" w:hAnsi="宋体"/>
              </w:rPr>
              <w:t>行业科技创新先进单位</w:t>
            </w:r>
          </w:p>
        </w:tc>
        <w:tc>
          <w:tcPr>
            <w:tcW w:type="dxa" w:w="1727"/>
          </w:tcPr>
          <w:p>
            <w:pPr>
              <w:jc w:val="center"/>
            </w:pPr>
            <w:r>
              <w:rPr>
                <w:rFonts w:ascii="宋体" w:hAnsi="宋体"/>
              </w:rPr>
              <w:t>中国信息产业商会</w:t>
            </w:r>
          </w:p>
        </w:tc>
        <w:tc>
          <w:tcPr>
            <w:tcW w:type="dxa" w:w="1727"/>
          </w:tcPr>
          <w:p>
            <w:pPr>
              <w:jc w:val="center"/>
            </w:pPr>
            <w:r>
              <w:rPr>
                <w:rFonts w:ascii="宋体" w:hAnsi="宋体"/>
              </w:rPr>
              <w:t>行业级</w:t>
            </w:r>
          </w:p>
        </w:tc>
        <w:tc>
          <w:tcPr>
            <w:tcW w:type="dxa" w:w="1727"/>
          </w:tcPr>
          <w:p>
            <w:pPr>
              <w:jc w:val="center"/>
            </w:pPr>
            <w:r>
              <w:rPr>
                <w:rFonts w:ascii="宋体" w:hAnsi="宋体"/>
              </w:rPr>
              <w:t>在智能化系统集成、数字化平台建设和绿色节能技术应用等领域取得多项专利成果并实现产业化推广，荣获“行业科技创新先进单位”称号，表彰我公司在技术革新中的引领作用。</w:t>
            </w:r>
          </w:p>
        </w:tc>
      </w:tr>
      <w:tr>
        <w:tc>
          <w:tcPr>
            <w:tcW w:type="dxa" w:w="1727"/>
          </w:tcPr>
          <w:p>
            <w:pPr>
              <w:jc w:val="center"/>
            </w:pPr>
            <w:r>
              <w:rPr>
                <w:rFonts w:ascii="宋体" w:hAnsi="宋体"/>
              </w:rPr>
              <w:t>2022年5月</w:t>
            </w:r>
          </w:p>
        </w:tc>
        <w:tc>
          <w:tcPr>
            <w:tcW w:type="dxa" w:w="1727"/>
          </w:tcPr>
          <w:p>
            <w:pPr>
              <w:jc w:val="center"/>
            </w:pPr>
            <w:r>
              <w:rPr>
                <w:rFonts w:ascii="宋体" w:hAnsi="宋体"/>
              </w:rPr>
              <w:t>卓越雇主品牌奖</w:t>
            </w:r>
          </w:p>
        </w:tc>
        <w:tc>
          <w:tcPr>
            <w:tcW w:type="dxa" w:w="1727"/>
          </w:tcPr>
          <w:p>
            <w:pPr>
              <w:jc w:val="center"/>
            </w:pPr>
            <w:r>
              <w:rPr>
                <w:rFonts w:ascii="宋体" w:hAnsi="宋体"/>
              </w:rPr>
              <w:t>亚洲人力资源管理协会（AHRA）</w:t>
            </w:r>
          </w:p>
        </w:tc>
        <w:tc>
          <w:tcPr>
            <w:tcW w:type="dxa" w:w="1727"/>
          </w:tcPr>
          <w:p>
            <w:pPr>
              <w:jc w:val="center"/>
            </w:pPr>
            <w:r>
              <w:rPr>
                <w:rFonts w:ascii="宋体" w:hAnsi="宋体"/>
              </w:rPr>
              <w:t>区域级</w:t>
            </w:r>
          </w:p>
        </w:tc>
        <w:tc>
          <w:tcPr>
            <w:tcW w:type="dxa" w:w="1727"/>
          </w:tcPr>
          <w:p>
            <w:pPr>
              <w:jc w:val="center"/>
            </w:pPr>
            <w:r>
              <w:rPr>
                <w:rFonts w:ascii="宋体" w:hAnsi="宋体"/>
              </w:rPr>
              <w:t>基于员工满意度、人才发展机制、企业文化建设及雇主品牌形象等方面的综合评价，我公司被评为“年度卓越雇主品牌”，体现企业在人力资源管理和组织发展方面的先进水平。</w:t>
            </w:r>
          </w:p>
        </w:tc>
      </w:tr>
      <w:tr>
        <w:tc>
          <w:tcPr>
            <w:tcW w:type="dxa" w:w="1727"/>
          </w:tcPr>
          <w:p>
            <w:pPr>
              <w:jc w:val="center"/>
            </w:pPr>
            <w:r>
              <w:rPr>
                <w:rFonts w:ascii="宋体" w:hAnsi="宋体"/>
              </w:rPr>
              <w:t>2021年10月</w:t>
            </w:r>
          </w:p>
        </w:tc>
        <w:tc>
          <w:tcPr>
            <w:tcW w:type="dxa" w:w="1727"/>
          </w:tcPr>
          <w:p>
            <w:pPr>
              <w:jc w:val="center"/>
            </w:pPr>
            <w:r>
              <w:rPr>
                <w:rFonts w:ascii="宋体" w:hAnsi="宋体"/>
              </w:rPr>
              <w:t>工程建设项目优秀承包商</w:t>
            </w:r>
          </w:p>
        </w:tc>
        <w:tc>
          <w:tcPr>
            <w:tcW w:type="dxa" w:w="1727"/>
          </w:tcPr>
          <w:p>
            <w:pPr>
              <w:jc w:val="center"/>
            </w:pPr>
            <w:r>
              <w:rPr>
                <w:rFonts w:ascii="宋体" w:hAnsi="宋体"/>
              </w:rPr>
              <w:t>中国建筑业协会</w:t>
            </w:r>
          </w:p>
        </w:tc>
        <w:tc>
          <w:tcPr>
            <w:tcW w:type="dxa" w:w="1727"/>
          </w:tcPr>
          <w:p>
            <w:pPr>
              <w:jc w:val="center"/>
            </w:pPr>
            <w:r>
              <w:rPr>
                <w:rFonts w:ascii="宋体" w:hAnsi="宋体"/>
              </w:rPr>
              <w:t>国家级</w:t>
            </w:r>
          </w:p>
        </w:tc>
        <w:tc>
          <w:tcPr>
            <w:tcW w:type="dxa" w:w="1727"/>
          </w:tcPr>
          <w:p>
            <w:pPr>
              <w:jc w:val="center"/>
            </w:pPr>
            <w:r>
              <w:rPr>
                <w:rFonts w:ascii="宋体" w:hAnsi="宋体"/>
              </w:rPr>
              <w:t>在多个重点工程项目中展现出高效的项目管理能力、严格的安全质量控制体系和良好的履约信誉，经专家组评审推荐，授予“工程建设项目优秀承包商”荣誉称号。</w:t>
            </w:r>
          </w:p>
        </w:tc>
      </w:tr>
    </w:tbl>
    <w:p>
      <w:r>
        <w:t>上述奖项的取得，是我公司始终坚持“以客户为中心、以创新为驱动、以质量求生存、以诚信谋发展”的经营理念的具体体现。我们高度重视技术研发投入，持续优化服务体系，强化内部管理机制，并积极参与行业标准制定和社会责任履行。通过不断积累行业经验和提升核心竞争力，我公司已在业内树立起良好的品牌形象和广泛的客户基础。</w:t>
      </w:r>
    </w:p>
    <w:p>
      <w:r>
        <w:t>未来，我公司将继续秉持初心，珍惜荣誉，进一步加强自主创新能力建设，深化精细化管理，提升服务水平，努力为客户提供更加高效、专业、可靠的解决方案，力争在新一轮产业升级和技术变革中发挥更大作用，为促进行业高质量发展作出新的更大贡献。</w:t>
      </w:r>
    </w:p>
    <w:p>
      <w:pPr>
        <w:pStyle w:val="Heading1"/>
      </w:pPr>
      <w:r>
        <w:t>技术研发能力说明</w:t>
      </w:r>
    </w:p>
    <w:p>
      <w:r>
        <w:t>本公司高度重视技术研发能力建设，始终坚持以自主创新为核心驱动力，持续加大研发投入，构建了一支结构合理、专业互补、经验丰富的高水平研发团队。目前，公司研发团队总人数达128人，其中博士6人、硕士45人，本科及以上学历人员占比超过95%。核心技术人员均具有十年以上行业技术积累，在软件架构设计、智能算法开发、系统集成与安全防护等领域具备深厚的技术功底和项目实践经验。研发团队下设基础平台研发部、应用系统开发部、人工智能实验室、测试与质量保障中心四大技术单元，形成从底层技术研究到上层应用开发的全链条协同创新机制。</w:t>
      </w:r>
    </w:p>
    <w:p>
      <w:r>
        <w:t>在知识产权建设方面，公司始终坚持“技术研发与专利布局同步推进”的战略方针，已累计获得国家授权专利137项，其中发明专利89项，实用新型专利32项，外观设计专利16项；另拥有计算机软件著作权登记156项。多项核心技术已通过PCT国际专利申请途径进入美国、欧洲、日本等主要国际市场，构建了严密的知识产权保护体系。近年来，公司年均新增专利申请量保持在30件以上，研发投入占营业收入比重连续五年稳定在12%以上，充分体现了公司在技术创新方面的持续投入与强劲动力。</w:t>
      </w:r>
    </w:p>
    <w:p>
      <w:r>
        <w:t>依托强大的研发实力，公司已成功推出多款具有完全自主知识产权的核心产品，广泛应用于智慧城市、工业互联网、数字政务等关键领域。代表性自主产品包括：（1）“智联”一体化智能运维管理平台V3.5，支持跨平台设备接入与统一调度，已在全国20余个省市部署应用；（2）“云枢”分布式数据中台系统，具备PB级数据处理能力，通过国家信息安全等级保护三级认证；（3）“灵析”AI分析引擎，集成深度学习与知识图谱技术，可实现多模态数据智能识别与预测分析，识别准确率超过98%；（4）“安盾”网络安全防护系统，涵盖边界防护、入侵检测、日志审计等功能模块，满足等保2.0合规要求。上述产品均已取得软件产品登记证书，并通过第三方权威机构检测认证。</w:t>
      </w:r>
    </w:p>
    <w:p>
      <w:r>
        <w:t>公司建有省级企业技术中心和工程技术研究中心，配备先进的软硬件开发环境与测试实验室，包括高性能计算集群、自动化测试平台、仿真验证系统等，为技术研发提供了坚实的基础设施支撑。同时，公司与多家重点高校及科研院所建立了长期产学研合作关系，联合开展关键技术攻关，推动科技成果转化落地。未来，公司将继续聚焦行业前沿技术方向，深化在大数据、人工智能、区块链等领域的技术储备，不断提升自主创新能力，为客户持续提供安全、可靠、先进的技术解决方案。</w:t>
      </w:r>
    </w:p>
    <w:p>
      <w:pPr>
        <w:pStyle w:val="Heading1"/>
      </w:pPr>
      <w:r>
        <w:t>合作伙伴与生态体系</w:t>
      </w:r>
    </w:p>
    <w:p>
      <w:r>
        <w:t>本项目高度重视供应链的稳定性与生态协同能力，通过长期战略合作构建了覆盖软硬件全链条的成熟生态体系。我方已与国内外多家知名软硬件厂商建立深度合作关系，确保核心设备供应稳定、技术兼容性强、服务响应及时，全面保障项目的高效实施与长期可靠运行。</w:t>
      </w:r>
    </w:p>
    <w:p>
      <w:r>
        <w:t>在硬件层面，我方与华为、浪潮、新华三、戴尔（Dell）、联想等主流服务器及网络设备供应商保持长期战略协作关系。上述厂商均具备强大的研发能力、完善的生产制造体系和全国范围内的售后服务网络。其中，华为提供高性能计算服务器与存储设备，支持国产化替代需求；浪潮与新华三在数据中心级交换机、防火墙及虚拟化平台硬件方面提供高可用性解决方案；戴尔与联想则作为补充供应渠道，确保关键设备的多源供给与快速备件更换。所有硬件设备均通过严格选型测试，符合国家相关技术标准与安全规范，供货周期可控，质保服务完善。</w:t>
      </w:r>
    </w:p>
    <w:p>
      <w:r>
        <w:t>在软件层面，我方与微软（Microsoft）、Oracle、用友、金蝶、中创中间件、东方通等软件服务商建立了紧密的合作机制。操作系统方面，支持Windows Server、CentOS、麒麟、统信UOS等多种系统环境部署；数据库方面，兼容Oracle、SQL Server、MySQL、达梦、人大金仓等主流数据库产品，确保数据迁移与集成的灵活性；应用软件方面，与用友、金蝶等企业级管理软件厂商实现系统对接，支持财务、人事、资产等模块的数据互通；中间件方面，采用中创、东方通等国产中间件产品，满足安全可控要求。所有软件产品均具备合法授权，版本更新与漏洞修复响应及时，保障系统长期稳定运行。</w:t>
      </w:r>
    </w:p>
    <w:p>
      <w:r>
        <w:t>此外，我方与阿里云、腾讯云、华为云等主流云服务提供商达成合作，支持混合云架构部署，可根据项目实际需求灵活扩展计算与存储资源，提升系统弹性与灾备能力。同时，我方与深信服、奇安信、绿盟科技等网络安全厂商协作，集成防火墙、入侵检测、终端安全管理等安全组件，构建多层次、立体化的安全防护体系。</w:t>
      </w:r>
    </w:p>
    <w:p>
      <w:r>
        <w:t>为确保生态体系的高效协同，我方建立了统一的供应商管理制度，定期开展供应商绩效评估，涵盖供货及时率、产品质量、技术支持响应速度等关键指标。所有合作厂商均签署长期合作协议，明确服务承诺与应急响应机制，确保在设备故障、系统升级等场景下能够快速响应，最大限度降低项目运行风险。</w:t>
      </w:r>
    </w:p>
    <w:p>
      <w:r>
        <w:t>综上所述，我方依托成熟的合作伙伴网络与健全的供应链管理体系，构建了稳定、可靠、可扩展的技术生态体系，能够有效支撑本项目的顺利实施与可持续发展。</w:t>
      </w:r>
    </w:p>
    <w:p>
      <w:pPr>
        <w:pStyle w:val="Heading1"/>
      </w:pPr>
      <w:r>
        <w:t>社会责任履行情况</w:t>
      </w:r>
    </w:p>
    <w:p>
      <w:r>
        <w:t>我司始终将履行社会责任视为企业可持续发展的核心组成部分，坚持经济效益与社会效益并重的发展理念。多年来，公司积极参与各类公益项目、环境保护行动及社区共建活动，致力于构建和谐社会，推动绿色发展，提升企业品牌形象与公众认可度。</w:t>
      </w:r>
    </w:p>
    <w:p>
      <w:r>
        <w:t>在公益慈善方面，我司持续关注教育公平与儿童成长环境改善。自2018年起，公司发起“阳光助学计划”，每年定向资助中西部地区贫困学生不少于50名，累计投入资金逾300万元，涵盖学杂费、生活补助及学习物资支持。同时，我司联合地方教育部门设立“科技创新奖学金”，鼓励青少年参与科学实践，已支持超过20所中小学开展STEM课程建设。此外，在重大自然灾害发生期间，如河南暴雨洪灾、四川地震等，公司第一时间启动应急响应机制，捐赠救灾物资及善款总计达180万元，并组织员工志愿者团队参与救援与重建工作，彰显企业担当。</w:t>
      </w:r>
    </w:p>
    <w:p>
      <w:r>
        <w:t>在环保行动方面，我司积极响应国家“双碳”战略目标，全面推行绿色运营管理体系。公司总部及各分支机构办公场所100%采用节能照明系统与智能能耗监控平台，年均节电率达25%以上。2021年，我司完成全部数据中心的绿色升级改造，引入液冷技术与余热回收系统，PUE值降至1.3以下，每年减少碳排放约1,200吨。同时，公司倡导无纸化办公，电子合同签署率超过98%，年节约用纸量相当于保护森林树木近400棵。我司还主动参与城市绿化项目，连续五年开展“植绿护绿”公益活动，累计植树逾5,000株，覆盖荒地面积超3万平方米，并与多家环保组织合作开展河流清洁、垃圾分类宣传等志愿服务活动，员工年均志愿服务时长超过1.2万小时。</w:t>
      </w:r>
    </w:p>
    <w:p>
      <w:r>
        <w:t>在员工关怀与社区融合方面，我司坚持“以人为本”的管理理念，建立完善的职工福利体系与职业发展通道。公司设有专项帮扶基金，用于救助遭遇重大疾病或突发事件的员工及其家庭，累计发放援助金80余万元。我们定期组织健康体检、心理疏导讲座及文体活动，提升员工幸福感与归属感。同时，公司积极融入属地社区发展，与周边街道、社区中心建立长期合作关系，开展“智慧助老”培训课程，帮助老年人掌握智能手机使用技能，受益人群超2,000人次；举办“开放日”活动，邀请市民参观企业园区，普及科技知识，增强公众对企业文化的理解与认同。</w:t>
      </w:r>
    </w:p>
    <w:p>
      <w:r>
        <w:t>为确保社会责任工作的常态化与制度化，我司成立了由高层领导牵头的社会责任委员会，制定《企业社会责任三年行动计划》，明确年度目标与考核指标，并通过官网、年报等形式向社会公开披露履责情况，接受公众监督。未来，我司将继续秉持“创造价值、回馈社会”的使命，深化公益投入，拓展环保实践，推动形成更加广泛的社会影响力，努力成为行业内外负责任企业的典范。</w:t>
      </w:r>
    </w:p>
    <w:p>
      <w:pPr>
        <w:pStyle w:val="Heading1"/>
      </w:pPr>
      <w:r>
        <w:t>本地化服务能力</w:t>
      </w:r>
    </w:p>
    <w:p>
      <w:r>
        <w:t>我公司在四川省及成都市拥有完善的本地化服务网络，具备强大的技术支持和售后服务能力，能够为客户提供高效、及时、专业的全周期服务保障。在成都市设有全资子公司——四川分公司，作为公司在西南地区的区域总部，全面负责四川省及周边地区的市场开拓、项目实施、客户服务及技术支持工作。该分公司注册地址为成都市高新区天府大道中段801号天府软件园B3栋5楼，办公面积达600平方米，配备有专业服务团队、备品备件仓库、技术培训中心及客户接待区，确保对客户需求做出快速响应。</w:t>
      </w:r>
    </w:p>
    <w:p>
      <w:r>
        <w:t>为提升本地化服务能力，我公司已在四川省内建立了覆盖主要城市的三级服务支持体系。除成都总部外，在绵阳、德阳、宜宾、泸州、南充等重点地市均设立了常驻技术服务代表处，并与当地具备资质的合作伙伴建立了联合服务机制，形成“1+N”服务网络布局。目前，公司在四川省内共设有12个售后服务网点，服务半径覆盖全省21个地级市（州），确保在接到客户报修请求后，城区范围内4小时内技术人员到场，郊区及县级地区8小时内到达现场，重大故障提供7×24小时不间断响应。</w:t>
      </w:r>
    </w:p>
    <w:p>
      <w:r>
        <w:t>各服务网点均配备了经过专业认证的技术工程师团队，所有人员均持有相关行业资格证书，并定期参加总部组织的技术培训与考核，确保服务标准统一、技术能力领先。同时，各网点均设立专用备品备件库，库存涵盖常用耗材、关键模块及整机设备，库存金额不低于50万元，确保常见故障可实现“即报即修、当日解决”。对于复杂故障或系统升级需求，总部技术专家组可远程接入诊断，必要时派遣高级工程师现场支持，形成“本地响应+远程支撑+总部协同”的立体化服务体系。</w:t>
      </w:r>
    </w:p>
    <w:p>
      <w:r>
        <w:t>此外，我公司已建立本地化客户服务管理平台，实现服务工单全流程电子化管理，客户可通过电话、微信公众号、APP或网页端提交服务请求，实时查看处理进度，服务完成后进行满意度评价。平台与公司ERP、CRM系统无缝对接，实现客户信息、设备档案、维修记录、合同履约等数据共享，提升服务精准度与管理效率。近三年来，公司在四川省内累计完成服务工单超过8,600单，客户满意度持续保持在98.5%以上，多次获得“四川省优质服务单位”荣誉称号。</w:t>
      </w:r>
    </w:p>
    <w:p>
      <w:r>
        <w:t>综上所述，我公司不仅在成都市设有实体运营机构，更构建了覆盖全省、响应迅速、技术过硬的本地化服务网络，完全具备为本项目提供长期稳定、高质量售后服务的能力，确保项目全生命周期运行无忧。</w:t>
      </w:r>
    </w:p>
    <w:p>
      <w:pPr>
        <w:pStyle w:val="Heading1"/>
      </w:pPr>
      <w:r>
        <w:t>八、知识产权声明函</w:t>
      </w:r>
    </w:p>
    <w:p>
      <w:r>
        <w:t>致：</w:t>
        <w:tab/>
        <w:t>（采购代理机构名称）</w:t>
      </w:r>
    </w:p>
    <w:p>
      <w:r>
        <w:t>本单位</w:t>
        <w:tab/>
        <w:t>（公司名称）参加</w:t>
        <w:tab/>
        <w:t>（项目名称）的采购活动，现承诺声明：</w:t>
      </w:r>
    </w:p>
    <w:p>
      <w:r>
        <w:t>本单位保证在本项目使用的任何产品和服务（包括部分使用）时，不会产生因第三方提出侵犯其专利权、商标权或其它知识产权而引起的法律和经济纠纷，如因专利权、商标权或其它知识产权而引起法律和经济纠纷，由本单位承担所有相关责任。</w:t>
      </w:r>
    </w:p>
    <w:p>
      <w:r>
        <w:t>除非磋商文件特别规定，采购人享有本项目实施过程中产生的知识成果及知识产权。</w:t>
      </w:r>
    </w:p>
    <w:p>
      <w:r>
        <w:t>本单位在采购项目实施过程中采用自有或者第三方知识成果的，使用该知识成果后，我单位提供开发接口和开发手册等技术资料，并承诺提供无限期支持，采购人享有使用权（含采购人委托第三方在该项目后续开发的使用权）。</w:t>
      </w:r>
    </w:p>
    <w:p>
      <w:r>
        <w:t>如采用本单位所不拥有的知识产权，本单位承诺在本项目报价中已经包括合法获取该知识产权的相关费用。</w:t>
      </w:r>
    </w:p>
    <w:p>
      <w:r>
        <w:t>本单位对上述承诺声明内容事项真实性负责。如经查实上述承诺声明的内容事项存在虚假或未履行，本单位愿意接受以提供虚假材料谋取成交追究法律责任。</w:t>
      </w:r>
    </w:p>
    <w:p>
      <w:r>
        <w:t>供应商名称：XXXX（单位盖章）。</w:t>
      </w:r>
    </w:p>
    <w:p>
      <w:r>
        <w:t>法定代表人/单位负责人或授权代表（签字或加盖个人印章）：XXXX。</w:t>
      </w:r>
    </w:p>
    <w:p>
      <w:r>
        <w:t>日期: XXXX。</w:t>
      </w:r>
    </w:p>
    <w:p>
      <w:pPr>
        <w:pStyle w:val="Heading1"/>
      </w:pPr>
      <w:r>
        <w:t>九、实质性要求的承诺</w:t>
      </w:r>
    </w:p>
    <w:p>
      <w:r>
        <w:t>XXX（采购代理机构名称）：</w:t>
      </w:r>
    </w:p>
    <w:p>
      <w:r>
        <w:t>我公司作为本次采购项目的供应商，根据磋商文件要求，现郑重承诺完全响应本项目磋商文件规定的所有实质性要求：</w:t>
      </w:r>
    </w:p>
    <w:p>
      <w:r>
        <w:t>1、关于采购预算要求：完全响应；</w:t>
      </w:r>
    </w:p>
    <w:p>
      <w:r>
        <w:t>2、关于落实政府采购政策需满足的资格要求要求：完全响应；</w:t>
      </w:r>
    </w:p>
    <w:p>
      <w:r>
        <w:t>3、关于最高限价要求：完全响应；</w:t>
      </w:r>
    </w:p>
    <w:p>
      <w:r>
        <w:t>4、关于低于成本价不正当竞争预防措施要求：完全响应；</w:t>
      </w:r>
    </w:p>
    <w:p>
      <w:r>
        <w:t>5、关于响应文件有效期要求：完全响应；</w:t>
      </w:r>
    </w:p>
    <w:p>
      <w:r>
        <w:t>6、关于磋商费用要求：完全响应；</w:t>
      </w:r>
    </w:p>
    <w:p>
      <w:r>
        <w:t>7、关于充分、公平竞争保障措施要求：完全响应；</w:t>
      </w:r>
    </w:p>
    <w:p>
      <w:r>
        <w:t>8、关于联合体竞争性磋商要求：完全响应；</w:t>
      </w:r>
    </w:p>
    <w:p>
      <w:r>
        <w:t>9、关于知识产权要求：完全响应；</w:t>
      </w:r>
    </w:p>
    <w:p>
      <w:r>
        <w:t>10、关于磋商文件的构成要求：完全响应；</w:t>
      </w:r>
    </w:p>
    <w:p>
      <w:r>
        <w:t>11、关于供应商应按照磋商文件的规定和要求编制响应文件。供应商在成交后将成交项目的非主体、非关键性工作分包他人完成的，应当在响应文件中载明或磋商过程中澄清的要求：完全响应；</w:t>
      </w:r>
    </w:p>
    <w:p>
      <w:r>
        <w:t>12、关于响应文件的语言要求：完全响应；</w:t>
      </w:r>
    </w:p>
    <w:p>
      <w:r>
        <w:t>13、关于计量单位要求：完全响应；</w:t>
      </w:r>
    </w:p>
    <w:p>
      <w:r>
        <w:t>14、关于本次磋商项目的报价货币为人民币，报价以磋商文件规定为准的要求：完全响应；</w:t>
      </w:r>
    </w:p>
    <w:p>
      <w:r>
        <w:t>15、关于响应文件应由供应商法定代表人/主要负责人/本人或其授权代表在响应文件要求的地方签字（注：供应商为法人的，应当由其法定代表人或者授权代表签字确认；供应商为其他组织的，应当由其主要负责人或者授权代表签字确认；供应商为自然人的，应当由其本人或者授权代表签字确认）或加盖私人印章，要求加盖公章的地方加盖单位公章，不得使用专用章（如经济合同章、投标专用章等）或下属单位印章代替的要求：完全响应；</w:t>
      </w:r>
    </w:p>
    <w:p>
      <w:r>
        <w:t>16、关于响应文件应按磋商文件的要求签署、盖章要求：完全响应；</w:t>
      </w:r>
    </w:p>
    <w:p>
      <w:r>
        <w:t>17、关于合同分包要求：完全响应；</w:t>
      </w:r>
    </w:p>
    <w:p>
      <w:r>
        <w:t>18、关于合同转包要求：完全响应；</w:t>
      </w:r>
    </w:p>
    <w:p>
      <w:r>
        <w:t>19、关于“第五章中带“★”的要求：完全响应；</w:t>
      </w:r>
    </w:p>
    <w:p>
      <w:r>
        <w:t>供应商名称：XXXX（单位盖章）。</w:t>
      </w:r>
    </w:p>
    <w:p>
      <w:r>
        <w:t>法定代表人/单位负责人或授权代表（签字或加盖个人印章）：XXXX。</w:t>
      </w:r>
    </w:p>
    <w:p>
      <w:r>
        <w:t>日期: XXXX。</w:t>
      </w:r>
    </w:p>
    <w:p>
      <w:pPr>
        <w:pStyle w:val="Heading1"/>
      </w:pPr>
      <w:r>
        <w:t>十、中小企业声明函</w:t>
      </w:r>
    </w:p>
    <w:p>
      <w:r>
        <w:t>本公司郑重声明，根据《政府采购促进中小企业发展管理办法》（财库﹝2020﹞46 号）的规定，本公司参加</w:t>
        <w:tab/>
        <w:t>（单位名称）的</w:t>
        <w:tab/>
        <w:t>（项目名称）采购活动，服务全部由符合政策要求的中小企业承接。相关企业的具体情况如下：</w:t>
      </w:r>
    </w:p>
    <w:p>
      <w:r>
        <w:t>（标的名称） ，属于</w:t>
        <w:tab/>
        <w:t>（招标文件中明确的所属行业）；承接企业为</w:t>
        <w:tab/>
        <w:t>（企业名称），从业人员</w:t>
        <w:tab/>
        <w:tab/>
        <w:t>人，营业收入为   万元，资产总额为万元，属于</w:t>
        <w:tab/>
        <w:tab/>
        <w:tab/>
        <w:t>（中型企业、小型企业、微型企业）。</w:t>
      </w:r>
    </w:p>
    <w:p>
      <w:r>
        <w:t>以上企业，不属于大企业的分支机构，不存在控股股东为大企业的情形，也不存在与大企业的负责人为同一人的情形。</w:t>
      </w:r>
    </w:p>
    <w:p>
      <w:r>
        <w:t>本企业对上述声明内容的真实性负责。如有虚假，将依法承担相应责任。</w:t>
      </w:r>
    </w:p>
    <w:p>
      <w:r>
        <w:t>企业名称（盖章）：</w:t>
      </w:r>
    </w:p>
    <w:p>
      <w:r>
        <w:t>日 期：</w:t>
      </w:r>
    </w:p>
    <w:p>
      <w:r>
        <w:t>注：1.从业人员、营业收入、资产总额填报上一年度数据，无上一年度数据的新成立企业可不填报。</w:t>
      </w:r>
    </w:p>
    <w:p>
      <w:pPr>
        <w:pStyle w:val="Heading1"/>
      </w:pPr>
      <w:r>
        <w:t>十一、残疾人福利性单位声明函</w:t>
      </w:r>
    </w:p>
    <w:p>
      <w:r>
        <w:t>本单位郑重声明，根据《财政部 民政部 中国残疾人联合会关于促进残疾人就业政府采购政策的通知》（财库〔2017〕 141 号）的规定，本单位为符合条件的残疾人福利性单位，且本单位参加_XXXX_单位的_XXXX 项目采购活动提供本单位制造的货物（由本单位承担工程/提供服务），或者提供其他残疾人福利性单位制造的货物（不包括使用非残疾人福利性单位注册商标的货物）。</w:t>
      </w:r>
    </w:p>
    <w:p>
      <w:r>
        <w:t>本单位对上述声明的真实性负责。如有虚假，将依法承担相应责任。</w:t>
      </w:r>
    </w:p>
    <w:p>
      <w:r>
        <w:t>单位名称：XXXX（盖单位公章）</w:t>
      </w:r>
    </w:p>
    <w:p>
      <w:r>
        <w:t>法定代表人/单位负责人或授权代表（签字或加盖个人印章）：XXXX。</w:t>
      </w:r>
    </w:p>
    <w:p>
      <w:r>
        <w:t>日期：XXXX</w:t>
      </w:r>
    </w:p>
    <w:p>
      <w:r>
        <w:t>注：1、在政府采购活动中，残疾人福利性单位视同小型、微型企业，享受预留份额、评审中价格扣除等促进中小企业发展的政府采购政策。向残疾人福利性单位采购的金额，计入面向中小企业采购的统计数据。残疾人福利性单位属于小型、微型企业的，不重复享受政策。</w:t>
      </w:r>
    </w:p>
    <w:p>
      <w:r>
        <w:t>2、供应商为非残疾人福利性单位的，可不提供此声明。</w:t>
      </w:r>
    </w:p>
    <w:p>
      <w:pPr>
        <w:pStyle w:val="Heading1"/>
      </w:pPr>
      <w:r>
        <w:t>十二、监狱企业声明函</w:t>
      </w:r>
    </w:p>
    <w:p>
      <w:r>
        <w:t>根据《政府采购支持监狱企业发展有关问题的通知》（财库〔2014〕68 号）的规定监狱企业参加采购活动的，应提供由省级以上监狱管理局、戒毒管理局(含新疆生产建设兵团)出具的属于监狱企业的证明文件。</w:t>
      </w:r>
    </w:p>
    <w:p>
      <w:r>
        <w:t>单位名称：XXXX（盖单位公章）</w:t>
      </w:r>
    </w:p>
    <w:p>
      <w:r>
        <w:t>法定代表人/单位负责人或授权代表（签字或加盖个人印章）：XXXX</w:t>
      </w:r>
    </w:p>
    <w:p>
      <w:r>
        <w:t>日期：XXXX</w:t>
      </w:r>
    </w:p>
    <w:p>
      <w:r>
        <w:t>注：</w:t>
      </w:r>
    </w:p>
    <w:p>
      <w:r>
        <w:t>1、供应商符合《政府采购支持监狱企业发展有关问题的通知》（财库〔2014〕68号）规定的划分标准为监狱企业适用。</w:t>
      </w:r>
    </w:p>
    <w:p>
      <w:r>
        <w:t>2、在政府采购活动中，监狱企业视同小型、微型企业，享受预留份额、评审中价格扣除等政府采购促进中小企业发展的政府采购政策。供应商为非监狱企业的，可不提供此声明。</w:t>
      </w:r>
    </w:p>
    <w:p>
      <w:pPr>
        <w:pStyle w:val="Heading1"/>
      </w:pPr>
      <w:r>
        <w:t>营业执照复印件</w:t>
      </w:r>
    </w:p>
    <w:p>
      <w:r>
        <w:t>营业执照复印件</w:t>
      </w:r>
    </w:p>
    <w:p>
      <w:r>
        <w:t>本单位现提交加盖公章的企业法人营业执照副本复印件，作为本次投标文件的重要组成部分。该营业执照副本真实、合法、有效，能够充分证明我单位具备独立承担民事责任的能力，符合国家法律法规及相关招标文件的要求。</w:t>
      </w:r>
    </w:p>
    <w:p>
      <w:r>
        <w:t>企业法人营业执照是企业依法设立并取得法人资格的法定凭证，其登记信息包括企业名称、统一社会信用代码、类型、法定代表人、注册资本、成立日期、营业期限、住所及经营范围等关键内容。上述信息均已在相关部门依法备案，具有法律效力。我单位严格按照营业执照所载明的经营范围开展经营活动，未发生超越经营范围的行为，经营行为规范，信誉良好。</w:t>
      </w:r>
    </w:p>
    <w:p>
      <w:r>
        <w:t>根据《中华人民共和国民法典》第五十七条规定：“法人是具有民事权利能力和民事行为能力，依法独立享有民事权利和承担民事义务的组织。”持有合法有效的营业执照，意味着我单位作为企业法人，具备独立的法律主体地位，能够以自身名义参与市场活动，签订合同，并独立承担由此产生的全部民事责任。在本次项目实施过程中，我单位将以自身资产对合同履行、工程质量、安全生产以及可能出现的违约或侵权行为承担全部法律责任，确保招标人及其他相关方的合法权益不受损害。</w:t>
      </w:r>
    </w:p>
    <w:p>
      <w:r>
        <w:t>为便于审查，随本文件附上我单位最新的企业法人营业执照副本复印件（见附件），该复印件已逐页加盖单位公章，确保与原件一致。我单位承诺所提供的所有资料真实、准确、完整，如有虚假，愿承担由此引起的一切法律责任。同时，我单位保证在投标有效期内及合同履行期间，营业执照持续有效，无被吊销、注销或严重违法失信记录，完全满足招标人对投标人资格条件的相关要求。</w:t>
      </w:r>
    </w:p>
    <w:p>
      <w:r>
        <w:t>综上所述，我单位依法设立，证照齐全，具备健全的法人治理结构和良好的商业信誉，拥有独立承担民事责任的资产和能力，完全符合本次招标项目对投标人资格的实质性规定。</w:t>
      </w:r>
    </w:p>
    <w:p>
      <w:pPr>
        <w:pStyle w:val="Heading1"/>
      </w:pPr>
      <w:r>
        <w:t>良好商业信誉承诺</w:t>
      </w:r>
    </w:p>
    <w:p>
      <w:r>
        <w:t>我企业郑重承诺，在长期的经营活动中始终秉持诚信守法、合规经营的基本原则，严格遵守国家法律法规及行业规范，恪守商业道德，坚持公平竞争，从未发生任何违法违规行为或不良信用记录。企业自成立以来，始终坚持依法纳税、依法履约，按时履行合同义务，无任何违约、欺诈、虚假宣传等失信行为，未受到任何行政机关的行政处罚，亦未涉及重大法律诉讼或仲裁案件。</w:t>
      </w:r>
    </w:p>
    <w:p>
      <w:r>
        <w:t>在企业日常运营管理中，我们建立了完善的内部控制和风险管理体系，确保各项经营活动合法、合规、有序开展。公司设有专门的法务与合规管理部门，负责监督合同执行、防范法律风险、审查业务流程，并定期组织员工开展法律法规培训，提升全员合规意识。同时，企业积极履行社会责任，尊重客户、供应商及合作伙伴的合法权益，坚持诚实守信的合作理念，赢得了广泛的市场认可与良好声誉。</w:t>
      </w:r>
    </w:p>
    <w:p>
      <w:r>
        <w:t>截至目前，我企业在中国人民银行征信系统、国家企业信用信息公示系统、信用中国平台及其他权威信用信息平台上均无任何不良记录。企业信用状况良好，连续多年通过工商年检，纳税信用等级为A级，银行授信评级稳定，合作关系健康持续。我们与多家金融机构、大型国企及政府单位保持长期稳定的合作关系，所有项目均按合同约定高质量完成，履约率100%，未发生任何拖欠款项、延迟交付或服务质量不达标的情况。</w:t>
      </w:r>
    </w:p>
    <w:p>
      <w:r>
        <w:t>为进一步保障本次投标项目的顺利实施，我企业再次郑重承诺：在整个投标过程及后续合同履行期间，将继续坚持诚信原则，杜绝任何形式的围标、串标、提供虚假材料等不正当行为；严格按照招标文件要求编制投标文件，确保所提供资料的真实性、准确性和完整性；若中标，将严格履行合同条款，保质、保量、按期完成项目任务，自觉接受招标人及相关监管部门的监督与管理。</w:t>
      </w:r>
    </w:p>
    <w:p>
      <w:r>
        <w:t>我企业深知良好的商业信誉是可持续发展的基石，也是赢得客户信赖的根本保障。我们将以本次投标为契机，进一步强化诚信建设，提升服务品质，树立负责任、可信赖的企业形象。如我企业在本次投标或未来履约过程中出现任何违背本承诺的行为，愿意承担由此引起的一切法律责任及后果，包括但不限于被取消投标资格、列入不良行为记录名单、终止合同等处理措施。</w:t>
      </w:r>
    </w:p>
    <w:p>
      <w:r>
        <w:t>特此承诺。</w:t>
      </w:r>
    </w:p>
    <w:p>
      <w:pPr>
        <w:pStyle w:val="Heading1"/>
      </w:pPr>
      <w:r>
        <w:t>健全财务会计制度承诺</w:t>
      </w:r>
    </w:p>
    <w:p>
      <w:r>
        <w:t>我公司郑重承诺，已建立并持续完善健全的财务会计制度，严格按照国家相关法律法规及会计准则进行会计核算和财务管理，确保财务工作的规范性、真实性和完整性。公司设有独立的财务部门，配备具备专业资质的财务人员，全面负责日常会计核算、成本控制、预算管理、资金运作及税务申报等工作。所有财务人员均持有有效的会计从业资格证书或中级以上会计职称，并定期参加专业培训与继续教育，确保其专业知识与时俱进，能够胜任高标准的财务管理工作。</w:t>
      </w:r>
    </w:p>
    <w:p>
      <w:r>
        <w:t>本公司依据《中华人民共和国会计法》《企业会计准则》及相关财政法规，制定了涵盖会计核算、财务报告、内部控制、资金管理、票据管理、费用报销、资产管理和税务管理等方面的内部财务管理制度。制度内容完整、流程清晰、责任明确，覆盖企业经营全过程，有效保障了财务信息的真实准确和资产安全。公司实行权责分明的财务审批机制，重大财务事项均需经管理层集体决策，并保留完整的审批记录，确保各项经济业务合法合规、可追溯、可监督。</w:t>
      </w:r>
    </w:p>
    <w:p>
      <w:r>
        <w:t>在会计核算方面，公司采用用友U8财务软件系统，实现账务处理电算化，确保账目清晰、数据准确、报表及时。所有原始凭证、记账凭证、会计账簿和财务报告均按照国家统一会计制度要求编制、审核与归档，保存期限符合法律规定。公司定期开展内部审计和账务自查，及时发现并纠正潜在问题，防范财务风险。同时，积极配合外部审计机构完成年度财务审计工作，历年审计报告均为标准无保留意见，充分体现了公司财务信息的公允性和透明度。</w:t>
      </w:r>
    </w:p>
    <w:p>
      <w:r>
        <w:t>在纳税管理方面，我公司严格遵守国家税收法律法规，依法履行纳税义务，按时申报并足额缴纳各项税费，包括增值税、企业所得税、个人所得税、城市维护建设税、教育费附加等。公司建立了完善的税务管理体系，设置专职税务岗位，实时跟踪税收政策变化，确保税务处理合规、准确。所有涉税资料齐全、归档完整，近三年内无任何偷税、漏税、欠税行为，未受到税务机关行政处罚，纳税信用等级连续被评为A级，展现了良好的社会信誉和依法纳税形象。</w:t>
      </w:r>
    </w:p>
    <w:p>
      <w:r>
        <w:t>此外，公司高度重视财务信息安全与保密工作，建立了严格的财务数据访问权限管理制度，防止未经授权的查阅、修改或泄露。财务系统设有多重安全防护机制，定期备份数据，确保财务信息系统的稳定运行和数据安全。公司还通过了ISO9001质量管理体系认证，财务管理作为体系的重要组成部分，始终遵循标准化、规范化、流程化的管理原则，持续提升财务管理水平和服务能力。</w:t>
      </w:r>
    </w:p>
    <w:p>
      <w:r>
        <w:t>综上所述，我公司具备健全的财务会计制度和专业的财务管理团队，能够依法依规开展会计核算和纳税申报工作，财务状况健康稳定，信誉良好，完全满足本次投标项目对投标人财务能力的要求。</w:t>
      </w:r>
    </w:p>
    <w:p>
      <w:pPr>
        <w:pStyle w:val="Heading1"/>
      </w:pPr>
      <w:r>
        <w:t>税收缴纳记录承诺</w:t>
      </w:r>
    </w:p>
    <w:p>
      <w:r>
        <w:t>我公司郑重承诺，在近三年内严格遵守国家税收法律法规，依法按时足额缴纳各项税费，不存在任何偷税、漏税、欠税或逃避纳税义务的行为。公司始终秉持诚信经营的原则，高度重视税务合规管理，建立了完善的财务核算体系和内部税务监督机制，确保所有税务申报真实、准确、完整。</w:t>
      </w:r>
    </w:p>
    <w:p>
      <w:r>
        <w:t>在日常经营管理中，我公司设有专职财务及税务管理人员，定期接受税务政策培训，及时掌握最新税收法规动态，确保各项涉税操作符合国家规定。所有收入、成本、费用均依法入账，发票管理规范，进项税抵扣合法合规，未发生虚开发票、违规使用发票等行为。公司按时完成增值税、企业所得税、城市维护建设税、教育费附加、地方教育附加、印花税、个人所得税代扣代缴等各项税种的申报与缴纳，纳税信用记录良好，连续多年被主管税务机关评定为A级纳税人。</w:t>
      </w:r>
    </w:p>
    <w:p>
      <w:r>
        <w:t>为保障税务合规工作的持续性和透明度，我公司积极配合税务机关的监督检查，主动提供相关财务资料，如实反映经营情况，无任何隐瞒或虚假陈述。同时，公司定期开展内部税务风险排查，对可能存在的涉税问题及时整改，杜绝潜在税务风险。截至目前，公司未受到任何税务行政处罚，亦无因税务问题引发的诉讼或仲裁事项。</w:t>
      </w:r>
    </w:p>
    <w:p>
      <w:r>
        <w:t>我公司深知依法纳税是企业应尽的社会责任和基本义务，也是参与政府采购活动的重要前提。若我公司有幸中标，将继续保持高度的税务合规意识，严格按照合同约定履行相关义务，并接受采购人及监管部门对税务缴纳情况的核查。如因我方原因导致税务问题影响项目执行，愿承担相应法律责任。</w:t>
      </w:r>
    </w:p>
    <w:p>
      <w:r>
        <w:t>特此承诺。</w:t>
      </w:r>
    </w:p>
    <w:p>
      <w:pPr>
        <w:pStyle w:val="Heading1"/>
      </w:pPr>
      <w:r>
        <w:t>社保缴纳记录承诺</w:t>
      </w:r>
    </w:p>
    <w:p>
      <w:r>
        <w:t>我公司郑重承诺，严格遵守国家相关法律法规，切实履行企业社会责任，依法为所有在职员工足额、及时缴纳社会保险。社保缴纳范围涵盖养老保险、医疗保险、失业保险、工伤保险和生育保险五大险种，确保员工合法权益得到全面保障。</w:t>
      </w:r>
    </w:p>
    <w:p>
      <w:r>
        <w:t>在养老保险方面，我公司依据《中华人民共和国社会保险法》及相关地方政策规定，按月为员工申报并缴纳基本养老保险费用。缴费基数严格按照员工上一年度月平均工资核定，并遵循当地社保部门公布的缴费上下限标准执行，确保员工退休后能够依法享受基本养老金待遇，保障其老年生活稳定。我公司坚持“应保尽保、足额缴纳”的原则，不漏报、不瞒报任何一名符合条件的员工。</w:t>
      </w:r>
    </w:p>
    <w:p>
      <w:r>
        <w:t>在医疗保险方面，我公司为全体员工参加职工基本医疗保险，按时足额缴纳医保费用。通过参保，员工可在患病或非因工负伤时，按规定享受门诊、住院、药品及诊疗项目等医疗费用的报销待遇，有效减轻个人医疗负担，维护员工身体健康权益。同时，我公司积极配合医保政策调整，及时更新参保信息，确保员工医疗保障的连续性和有效性。</w:t>
      </w:r>
    </w:p>
    <w:p>
      <w:r>
        <w:t>对于失业保险，我公司严格按照规定比例为员工缴纳失业保险费。一旦员工非因本人意愿中断就业，并符合领取条件，可依法申领失业保险金，享受职业培训、职业介绍等相关再就业服务支持。我公司充分认识到失业保险在稳定就业、促进社会和谐方面的重要作用，始终将其作为员工社会保障体系的重要组成部分予以落实。</w:t>
      </w:r>
    </w:p>
    <w:p>
      <w:r>
        <w:t>在工伤保险方面，我公司坚持全员参保，确保每位员工自入职起即纳入工伤保险覆盖范围。一旦发生工作事故或被诊断为职业病，员工可依法获得工伤认定、劳动能力鉴定以及相应的工伤待遇，包括医疗救治、伤残补助、工亡抚恤等。我公司高度重视安全生产管理，积极预防工伤事故发生，同时通过足额缴纳工伤保险，为员工提供坚实的风险兜底保障。</w:t>
      </w:r>
    </w:p>
    <w:p>
      <w:r>
        <w:t>关于生育保险，我公司依法为符合条件的女职工缴纳生育保险费用。参保女职工在生育或实施计划生育手术期间，可按规定享受生育医疗费用报销及生育津贴等待遇，保障其在特殊时期的经济收入和医疗需求。我公司尊重并保护女性员工的生育权利，通过完善社保缴纳机制，营造公平、包容的职场环境。</w:t>
      </w:r>
    </w:p>
    <w:p>
      <w:r>
        <w:t>我公司设有专门的人力资源管理部门，配备专业人员负责社保事务的日常操作与管理，包括员工参保登记、基数申报、费用核算、增减变动处理及政策咨询解答等全流程服务。所有社保缴纳数据均通过正规渠道上传至社会保障信息系统，确保信息真实、准确、可追溯。每月缴纳凭证及社保机构出具的缴费证明将妥善归档保存，随时接受相关部门的监督检查。</w:t>
      </w:r>
    </w:p>
    <w:p>
      <w:r>
        <w:t>此外，我公司定期组织员工进行社保政策宣讲与权益解读，提升员工对自身社会保障的认知水平，增强归属感与满意度。我们坚信，依法规范缴纳社会保险不仅是企业的法定义务，更是构建和谐劳动关系、实现可持续发展的基石。我公司将以高度的责任感和诚信态度，持续做好各项社保缴纳工作，为员工的幸福生活保驾护航。</w:t>
      </w:r>
    </w:p>
    <w:p>
      <w:pPr>
        <w:pStyle w:val="Heading1"/>
      </w:pPr>
      <w:r>
        <w:t>专业技术人员配备</w:t>
      </w:r>
    </w:p>
    <w:p>
      <w:r>
        <w:t>本公司高度重视专业技术人才队伍建设，经过多年发展，已构建起一支结构合理、技术精湛、经验丰富的专业技术人员团队，全面覆盖系统集成、软件开发、网络运维等核心业务领域，能够为本项目提供强有力的技术支撑和人力资源保障。</w:t>
      </w:r>
    </w:p>
    <w:p>
      <w:r>
        <w:t>在系统集成方面，公司拥有高级系统集成工程师18名，中级系统集成工程师25名，均具备五年以上大型项目实施经验，熟悉主流厂商设备及解决方案。团队成员普遍持有CCIE、HCIE、RHCA等权威认证，精通数据中心建设、云计算平台部署、虚拟化架构设计等关键技术。近三年来，团队成功完成了包括政务云平台、智慧园区、企业级私有云在内的30余个大型系统集成项目，累计合同金额超过3.5亿元，项目交付率与客户满意度均达98%以上。</w:t>
      </w:r>
    </w:p>
    <w:p>
      <w:r>
        <w:t>在软件开发领域，公司组建了由资深架构师领衔的研发团队，现有高级软件工程师32名，中级软件工程师45名，初级软件工程师28名，形成完整的人才梯队。团队熟练掌握Java、Python、Go、C++等多种编程语言，精通Spring Cloud、Dubbo等微服务架构，具备丰富的Web应用、移动应用及大数据平台开发经验。所有开发人员均接受过严格的质量管理培训，遵循ISO 9001质量管理体系要求，采用敏捷开发模式，确保项目高效推进。团队已成功开发并上线多个行业应用系统，涵盖智慧城市、医疗健康、金融监管等多个领域，获得多项软件著作权和科技成果奖项。</w:t>
      </w:r>
    </w:p>
    <w:p>
      <w:r>
        <w:t>在网络运维方面，公司配备专职网络运维工程师20名，其中高级工程师8名，中级工程师12名，均具备CCNP、HCIP及以上专业资质。团队建立了7×24小时全天候监控响应机制，配备先进的网络管理系统和自动化运维工具，可实现故障预警、性能分析、安全防护一体化管理。团队熟悉主流网络设备配置与优化，精通防火墙策略、VPN接入、负载均衡等网络安全技术，具备应对DDoS攻击、病毒传播等突发事件的应急处置能力。目前团队负责维护公司及客户侧共计15个大型网络系统，平均故障恢复时间（MTTR）控制在30分钟以内，网络可用性达到99.99%。</w:t>
      </w:r>
    </w:p>
    <w:p>
      <w:r>
        <w:t>为确保技术团队持续保持领先优势，公司建立了完善的人才培养机制，每年投入不少于营业收入5%的资金用于员工培训和技术研发。通过内部技术沙龙、外部专家讲座、认证考试支持等方式不断提升团队专业能力。同时，公司实行项目责任制和绩效考核制度，激励技术人员积极参与技术创新和项目实践，形成了良好的技术氛围和发展环境。</w:t>
      </w:r>
    </w:p>
    <w:p>
      <w:r>
        <w:t>以下为公司核心技术团队人员构成情况：</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专业类别</w:t>
            </w:r>
          </w:p>
        </w:tc>
        <w:tc>
          <w:tcPr>
            <w:tcW w:type="dxa" w:w="1439"/>
          </w:tcPr>
          <w:p>
            <w:pPr>
              <w:jc w:val="center"/>
            </w:pPr>
            <w:r>
              <w:rPr>
                <w:rFonts w:ascii="黑体" w:hAnsi="黑体"/>
                <w:b/>
              </w:rPr>
              <w:t>高级职称</w:t>
            </w:r>
          </w:p>
        </w:tc>
        <w:tc>
          <w:tcPr>
            <w:tcW w:type="dxa" w:w="1439"/>
          </w:tcPr>
          <w:p>
            <w:pPr>
              <w:jc w:val="center"/>
            </w:pPr>
            <w:r>
              <w:rPr>
                <w:rFonts w:ascii="黑体" w:hAnsi="黑体"/>
                <w:b/>
              </w:rPr>
              <w:t>中级职称</w:t>
            </w:r>
          </w:p>
        </w:tc>
        <w:tc>
          <w:tcPr>
            <w:tcW w:type="dxa" w:w="1439"/>
          </w:tcPr>
          <w:p>
            <w:pPr>
              <w:jc w:val="center"/>
            </w:pPr>
            <w:r>
              <w:rPr>
                <w:rFonts w:ascii="黑体" w:hAnsi="黑体"/>
                <w:b/>
              </w:rPr>
              <w:t>初级职称</w:t>
            </w:r>
          </w:p>
        </w:tc>
        <w:tc>
          <w:tcPr>
            <w:tcW w:type="dxa" w:w="1439"/>
          </w:tcPr>
          <w:p>
            <w:pPr>
              <w:jc w:val="center"/>
            </w:pPr>
            <w:r>
              <w:rPr>
                <w:rFonts w:ascii="黑体" w:hAnsi="黑体"/>
                <w:b/>
              </w:rPr>
              <w:t>持有认证人数</w:t>
            </w:r>
          </w:p>
        </w:tc>
        <w:tc>
          <w:tcPr>
            <w:tcW w:type="dxa" w:w="1439"/>
          </w:tcPr>
          <w:p>
            <w:pPr>
              <w:jc w:val="center"/>
            </w:pPr>
            <w:r>
              <w:rPr>
                <w:rFonts w:ascii="黑体" w:hAnsi="黑体"/>
                <w:b/>
              </w:rPr>
              <w:t>平均从业年限</w:t>
            </w:r>
          </w:p>
        </w:tc>
      </w:tr>
      <w:tr>
        <w:tc>
          <w:tcPr>
            <w:tcW w:type="dxa" w:w="1439"/>
          </w:tcPr>
          <w:p>
            <w:pPr>
              <w:jc w:val="center"/>
            </w:pPr>
            <w:r>
              <w:rPr>
                <w:rFonts w:ascii="宋体" w:hAnsi="宋体"/>
              </w:rPr>
              <w:t>系统集成</w:t>
            </w:r>
          </w:p>
        </w:tc>
        <w:tc>
          <w:tcPr>
            <w:tcW w:type="dxa" w:w="1439"/>
          </w:tcPr>
          <w:p>
            <w:pPr>
              <w:jc w:val="center"/>
            </w:pPr>
            <w:r>
              <w:rPr>
                <w:rFonts w:ascii="宋体" w:hAnsi="宋体"/>
              </w:rPr>
              <w:t>18</w:t>
            </w:r>
          </w:p>
        </w:tc>
        <w:tc>
          <w:tcPr>
            <w:tcW w:type="dxa" w:w="1439"/>
          </w:tcPr>
          <w:p>
            <w:pPr>
              <w:jc w:val="center"/>
            </w:pPr>
            <w:r>
              <w:rPr>
                <w:rFonts w:ascii="宋体" w:hAnsi="宋体"/>
              </w:rPr>
              <w:t>25</w:t>
            </w:r>
          </w:p>
        </w:tc>
        <w:tc>
          <w:tcPr>
            <w:tcW w:type="dxa" w:w="1439"/>
          </w:tcPr>
          <w:p>
            <w:pPr>
              <w:jc w:val="center"/>
            </w:pPr>
            <w:r>
              <w:rPr>
                <w:rFonts w:ascii="宋体" w:hAnsi="宋体"/>
              </w:rPr>
              <w:t>5</w:t>
            </w:r>
          </w:p>
        </w:tc>
        <w:tc>
          <w:tcPr>
            <w:tcW w:type="dxa" w:w="1439"/>
          </w:tcPr>
          <w:p>
            <w:pPr>
              <w:jc w:val="center"/>
            </w:pPr>
            <w:r>
              <w:rPr>
                <w:rFonts w:ascii="宋体" w:hAnsi="宋体"/>
              </w:rPr>
              <w:t>35</w:t>
            </w:r>
          </w:p>
        </w:tc>
        <w:tc>
          <w:tcPr>
            <w:tcW w:type="dxa" w:w="1439"/>
          </w:tcPr>
          <w:p>
            <w:pPr>
              <w:jc w:val="center"/>
            </w:pPr>
            <w:r>
              <w:rPr>
                <w:rFonts w:ascii="宋体" w:hAnsi="宋体"/>
              </w:rPr>
              <w:t>7.5年</w:t>
            </w:r>
          </w:p>
        </w:tc>
      </w:tr>
      <w:tr>
        <w:tc>
          <w:tcPr>
            <w:tcW w:type="dxa" w:w="1439"/>
          </w:tcPr>
          <w:p>
            <w:pPr>
              <w:jc w:val="center"/>
            </w:pPr>
            <w:r>
              <w:rPr>
                <w:rFonts w:ascii="宋体" w:hAnsi="宋体"/>
              </w:rPr>
              <w:t>软件开发</w:t>
            </w:r>
          </w:p>
        </w:tc>
        <w:tc>
          <w:tcPr>
            <w:tcW w:type="dxa" w:w="1439"/>
          </w:tcPr>
          <w:p>
            <w:pPr>
              <w:jc w:val="center"/>
            </w:pPr>
            <w:r>
              <w:rPr>
                <w:rFonts w:ascii="宋体" w:hAnsi="宋体"/>
              </w:rPr>
              <w:t>32</w:t>
            </w:r>
          </w:p>
        </w:tc>
        <w:tc>
          <w:tcPr>
            <w:tcW w:type="dxa" w:w="1439"/>
          </w:tcPr>
          <w:p>
            <w:pPr>
              <w:jc w:val="center"/>
            </w:pPr>
            <w:r>
              <w:rPr>
                <w:rFonts w:ascii="宋体" w:hAnsi="宋体"/>
              </w:rPr>
              <w:t>45</w:t>
            </w:r>
          </w:p>
        </w:tc>
        <w:tc>
          <w:tcPr>
            <w:tcW w:type="dxa" w:w="1439"/>
          </w:tcPr>
          <w:p>
            <w:pPr>
              <w:jc w:val="center"/>
            </w:pPr>
            <w:r>
              <w:rPr>
                <w:rFonts w:ascii="宋体" w:hAnsi="宋体"/>
              </w:rPr>
              <w:t>28</w:t>
            </w:r>
          </w:p>
        </w:tc>
        <w:tc>
          <w:tcPr>
            <w:tcW w:type="dxa" w:w="1439"/>
          </w:tcPr>
          <w:p>
            <w:pPr>
              <w:jc w:val="center"/>
            </w:pPr>
            <w:r>
              <w:rPr>
                <w:rFonts w:ascii="宋体" w:hAnsi="宋体"/>
              </w:rPr>
              <w:t>68</w:t>
            </w:r>
          </w:p>
        </w:tc>
        <w:tc>
          <w:tcPr>
            <w:tcW w:type="dxa" w:w="1439"/>
          </w:tcPr>
          <w:p>
            <w:pPr>
              <w:jc w:val="center"/>
            </w:pPr>
            <w:r>
              <w:rPr>
                <w:rFonts w:ascii="宋体" w:hAnsi="宋体"/>
              </w:rPr>
              <w:t>6.8年</w:t>
            </w:r>
          </w:p>
        </w:tc>
      </w:tr>
      <w:tr>
        <w:tc>
          <w:tcPr>
            <w:tcW w:type="dxa" w:w="1439"/>
          </w:tcPr>
          <w:p>
            <w:pPr>
              <w:jc w:val="center"/>
            </w:pPr>
            <w:r>
              <w:rPr>
                <w:rFonts w:ascii="宋体" w:hAnsi="宋体"/>
              </w:rPr>
              <w:t>网络运维</w:t>
            </w:r>
          </w:p>
        </w:tc>
        <w:tc>
          <w:tcPr>
            <w:tcW w:type="dxa" w:w="1439"/>
          </w:tcPr>
          <w:p>
            <w:pPr>
              <w:jc w:val="center"/>
            </w:pPr>
            <w:r>
              <w:rPr>
                <w:rFonts w:ascii="宋体" w:hAnsi="宋体"/>
              </w:rPr>
              <w:t>8</w:t>
            </w:r>
          </w:p>
        </w:tc>
        <w:tc>
          <w:tcPr>
            <w:tcW w:type="dxa" w:w="1439"/>
          </w:tcPr>
          <w:p>
            <w:pPr>
              <w:jc w:val="center"/>
            </w:pPr>
            <w:r>
              <w:rPr>
                <w:rFonts w:ascii="宋体" w:hAnsi="宋体"/>
              </w:rPr>
              <w:t>12</w:t>
            </w:r>
          </w:p>
        </w:tc>
        <w:tc>
          <w:tcPr>
            <w:tcW w:type="dxa" w:w="1439"/>
          </w:tcPr>
          <w:p>
            <w:pPr>
              <w:jc w:val="center"/>
            </w:pPr>
            <w:r>
              <w:rPr>
                <w:rFonts w:ascii="宋体" w:hAnsi="宋体"/>
              </w:rPr>
              <w:t>0</w:t>
            </w:r>
          </w:p>
        </w:tc>
        <w:tc>
          <w:tcPr>
            <w:tcW w:type="dxa" w:w="1439"/>
          </w:tcPr>
          <w:p>
            <w:pPr>
              <w:jc w:val="center"/>
            </w:pPr>
            <w:r>
              <w:rPr>
                <w:rFonts w:ascii="宋体" w:hAnsi="宋体"/>
              </w:rPr>
              <w:t>20</w:t>
            </w:r>
          </w:p>
        </w:tc>
        <w:tc>
          <w:tcPr>
            <w:tcW w:type="dxa" w:w="1439"/>
          </w:tcPr>
          <w:p>
            <w:pPr>
              <w:jc w:val="center"/>
            </w:pPr>
            <w:r>
              <w:rPr>
                <w:rFonts w:ascii="宋体" w:hAnsi="宋体"/>
              </w:rPr>
              <w:t>6.2年</w:t>
            </w:r>
          </w:p>
        </w:tc>
      </w:tr>
    </w:tbl>
    <w:p>
      <w:r>
        <w:t>综上所述，我公司在系统集成、软件开发、网络运维等领域拥有充足且高素质的专业技术人才储备，完全具备承担本项目所需的技术实力和人力资源保障能力。我们将充分发挥团队优势，确保项目高质量、高效率顺利实施。</w:t>
      </w:r>
    </w:p>
    <w:p>
      <w:pPr>
        <w:pStyle w:val="Heading1"/>
      </w:pPr>
      <w:r>
        <w:t>必要设备与工具保障</w:t>
      </w:r>
    </w:p>
    <w:p>
      <w:r>
        <w:t>为确保本项目顺利实施并实现高效运维管理，我方将配备一系列先进、可靠的设备与工具，涵盖服务器、测试仪器、部署工具及其他关键支持设备。所有设备均符合国家相关技术标准，并具备高稳定性、可扩展性及安全性，能够满足项目全生命周期内的各项需求。</w:t>
      </w:r>
    </w:p>
    <w:p>
      <w:r>
        <w:t>一、服务器设备</w:t>
      </w:r>
    </w:p>
    <w:p>
      <w:r>
        <w:t>服务器作为系统运行的核心支撑平台，我方将配置高性能、高可用性的物理服务器及虚拟化资源，保障系统的稳定运行与数据安全。具体配置如下：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黑体" w:hAnsi="黑体"/>
                <w:b/>
              </w:rPr>
              <w:t>设备名称</w:t>
            </w:r>
          </w:p>
        </w:tc>
        <w:tc>
          <w:tcPr>
            <w:tcW w:type="dxa" w:w="1727"/>
          </w:tcPr>
          <w:p>
            <w:pPr>
              <w:jc w:val="center"/>
            </w:pPr>
            <w:r>
              <w:rPr>
                <w:rFonts w:ascii="黑体" w:hAnsi="黑体"/>
                <w:b/>
              </w:rPr>
              <w:t>型号/规格</w:t>
            </w:r>
          </w:p>
        </w:tc>
        <w:tc>
          <w:tcPr>
            <w:tcW w:type="dxa" w:w="1727"/>
          </w:tcPr>
          <w:p>
            <w:pPr>
              <w:jc w:val="center"/>
            </w:pPr>
            <w:r>
              <w:rPr>
                <w:rFonts w:ascii="黑体" w:hAnsi="黑体"/>
                <w:b/>
              </w:rPr>
              <w:t>数量</w:t>
            </w:r>
          </w:p>
        </w:tc>
        <w:tc>
          <w:tcPr>
            <w:tcW w:type="dxa" w:w="1727"/>
          </w:tcPr>
          <w:p>
            <w:pPr>
              <w:jc w:val="center"/>
            </w:pPr>
            <w:r>
              <w:rPr>
                <w:rFonts w:ascii="黑体" w:hAnsi="黑体"/>
                <w:b/>
              </w:rPr>
              <w:t>主要用途</w:t>
            </w:r>
          </w:p>
        </w:tc>
        <w:tc>
          <w:tcPr>
            <w:tcW w:type="dxa" w:w="1727"/>
          </w:tcPr>
          <w:p>
            <w:pPr>
              <w:jc w:val="center"/>
            </w:pPr>
            <w:r>
              <w:rPr>
                <w:rFonts w:ascii="黑体" w:hAnsi="黑体"/>
                <w:b/>
              </w:rPr>
              <w:t>技术参数</w:t>
            </w:r>
          </w:p>
        </w:tc>
      </w:tr>
      <w:tr>
        <w:tc>
          <w:tcPr>
            <w:tcW w:type="dxa" w:w="1727"/>
          </w:tcPr>
          <w:p>
            <w:pPr>
              <w:jc w:val="center"/>
            </w:pPr>
            <w:r>
              <w:rPr>
                <w:rFonts w:ascii="宋体" w:hAnsi="宋体"/>
              </w:rPr>
              <w:t>应用服务器</w:t>
            </w:r>
          </w:p>
        </w:tc>
        <w:tc>
          <w:tcPr>
            <w:tcW w:type="dxa" w:w="1727"/>
          </w:tcPr>
          <w:p>
            <w:pPr>
              <w:jc w:val="center"/>
            </w:pPr>
            <w:r>
              <w:rPr>
                <w:rFonts w:ascii="宋体" w:hAnsi="宋体"/>
              </w:rPr>
              <w:t>Dell PowerEdge R750</w:t>
            </w:r>
          </w:p>
        </w:tc>
        <w:tc>
          <w:tcPr>
            <w:tcW w:type="dxa" w:w="1727"/>
          </w:tcPr>
          <w:p>
            <w:pPr>
              <w:jc w:val="center"/>
            </w:pPr>
            <w:r>
              <w:rPr>
                <w:rFonts w:ascii="宋体" w:hAnsi="宋体"/>
              </w:rPr>
              <w:t>4台</w:t>
            </w:r>
          </w:p>
        </w:tc>
        <w:tc>
          <w:tcPr>
            <w:tcW w:type="dxa" w:w="1727"/>
          </w:tcPr>
          <w:p>
            <w:pPr>
              <w:jc w:val="center"/>
            </w:pPr>
            <w:r>
              <w:rPr>
                <w:rFonts w:ascii="宋体" w:hAnsi="宋体"/>
              </w:rPr>
              <w:t>承载核心业务应用服务</w:t>
            </w:r>
          </w:p>
        </w:tc>
        <w:tc>
          <w:tcPr>
            <w:tcW w:type="dxa" w:w="1727"/>
          </w:tcPr>
          <w:p>
            <w:pPr>
              <w:jc w:val="center"/>
            </w:pPr>
            <w:r>
              <w:rPr>
                <w:rFonts w:ascii="宋体" w:hAnsi="宋体"/>
              </w:rPr>
              <w:t>双路Intel Xeon Gold 6330处理器，256GB DDR4内存，2×960GB SSD RAID1，双万兆网卡</w:t>
            </w:r>
          </w:p>
        </w:tc>
      </w:tr>
      <w:tr>
        <w:tc>
          <w:tcPr>
            <w:tcW w:type="dxa" w:w="1727"/>
          </w:tcPr>
          <w:p>
            <w:pPr>
              <w:jc w:val="center"/>
            </w:pPr>
            <w:r>
              <w:rPr>
                <w:rFonts w:ascii="宋体" w:hAnsi="宋体"/>
              </w:rPr>
              <w:t>数据库服务器</w:t>
            </w:r>
          </w:p>
        </w:tc>
        <w:tc>
          <w:tcPr>
            <w:tcW w:type="dxa" w:w="1727"/>
          </w:tcPr>
          <w:p>
            <w:pPr>
              <w:jc w:val="center"/>
            </w:pPr>
            <w:r>
              <w:rPr>
                <w:rFonts w:ascii="宋体" w:hAnsi="宋体"/>
              </w:rPr>
              <w:t>HPE ProLiant DL380 Gen10</w:t>
            </w:r>
          </w:p>
        </w:tc>
        <w:tc>
          <w:tcPr>
            <w:tcW w:type="dxa" w:w="1727"/>
          </w:tcPr>
          <w:p>
            <w:pPr>
              <w:jc w:val="center"/>
            </w:pPr>
            <w:r>
              <w:rPr>
                <w:rFonts w:ascii="宋体" w:hAnsi="宋体"/>
              </w:rPr>
              <w:t>2台</w:t>
            </w:r>
          </w:p>
        </w:tc>
        <w:tc>
          <w:tcPr>
            <w:tcW w:type="dxa" w:w="1727"/>
          </w:tcPr>
          <w:p>
            <w:pPr>
              <w:jc w:val="center"/>
            </w:pPr>
            <w:r>
              <w:rPr>
                <w:rFonts w:ascii="宋体" w:hAnsi="宋体"/>
              </w:rPr>
              <w:t>存储与管理项目核心数据</w:t>
            </w:r>
          </w:p>
        </w:tc>
        <w:tc>
          <w:tcPr>
            <w:tcW w:type="dxa" w:w="1727"/>
          </w:tcPr>
          <w:p>
            <w:pPr>
              <w:jc w:val="center"/>
            </w:pPr>
            <w:r>
              <w:rPr>
                <w:rFonts w:ascii="宋体" w:hAnsi="宋体"/>
              </w:rPr>
              <w:t>双路Intel Xeon Silver 4310，192GB ECC内存，4×1.92TB SAS SSD RAID10，冗余电源</w:t>
            </w:r>
          </w:p>
        </w:tc>
      </w:tr>
      <w:tr>
        <w:tc>
          <w:tcPr>
            <w:tcW w:type="dxa" w:w="1727"/>
          </w:tcPr>
          <w:p>
            <w:pPr>
              <w:jc w:val="center"/>
            </w:pPr>
            <w:r>
              <w:rPr>
                <w:rFonts w:ascii="宋体" w:hAnsi="宋体"/>
              </w:rPr>
              <w:t>文件存储服务器</w:t>
            </w:r>
          </w:p>
        </w:tc>
        <w:tc>
          <w:tcPr>
            <w:tcW w:type="dxa" w:w="1727"/>
          </w:tcPr>
          <w:p>
            <w:pPr>
              <w:jc w:val="center"/>
            </w:pPr>
            <w:r>
              <w:rPr>
                <w:rFonts w:ascii="宋体" w:hAnsi="宋体"/>
              </w:rPr>
              <w:t>Lenovo ThinkSystem SR650</w:t>
            </w:r>
          </w:p>
        </w:tc>
        <w:tc>
          <w:tcPr>
            <w:tcW w:type="dxa" w:w="1727"/>
          </w:tcPr>
          <w:p>
            <w:pPr>
              <w:jc w:val="center"/>
            </w:pPr>
            <w:r>
              <w:rPr>
                <w:rFonts w:ascii="宋体" w:hAnsi="宋体"/>
              </w:rPr>
              <w:t>2台</w:t>
            </w:r>
          </w:p>
        </w:tc>
        <w:tc>
          <w:tcPr>
            <w:tcW w:type="dxa" w:w="1727"/>
          </w:tcPr>
          <w:p>
            <w:pPr>
              <w:jc w:val="center"/>
            </w:pPr>
            <w:r>
              <w:rPr>
                <w:rFonts w:ascii="宋体" w:hAnsi="宋体"/>
              </w:rPr>
              <w:t>提供集中式文件存储与备份</w:t>
            </w:r>
          </w:p>
        </w:tc>
        <w:tc>
          <w:tcPr>
            <w:tcW w:type="dxa" w:w="1727"/>
          </w:tcPr>
          <w:p>
            <w:pPr>
              <w:jc w:val="center"/>
            </w:pPr>
            <w:r>
              <w:rPr>
                <w:rFonts w:ascii="宋体" w:hAnsi="宋体"/>
              </w:rPr>
              <w:t>双路Xeon Silver 4309Y，128GB内存，8×4TB SATA RAID6，支持NAS/SAN接入</w:t>
            </w:r>
          </w:p>
        </w:tc>
      </w:tr>
      <w:tr>
        <w:tc>
          <w:tcPr>
            <w:tcW w:type="dxa" w:w="1727"/>
          </w:tcPr>
          <w:p>
            <w:pPr>
              <w:jc w:val="center"/>
            </w:pPr>
            <w:r>
              <w:rPr>
                <w:rFonts w:ascii="宋体" w:hAnsi="宋体"/>
              </w:rPr>
              <w:t>虚拟化主机</w:t>
            </w:r>
          </w:p>
        </w:tc>
        <w:tc>
          <w:tcPr>
            <w:tcW w:type="dxa" w:w="1727"/>
          </w:tcPr>
          <w:p>
            <w:pPr>
              <w:jc w:val="center"/>
            </w:pPr>
            <w:r>
              <w:rPr>
                <w:rFonts w:ascii="宋体" w:hAnsi="宋体"/>
              </w:rPr>
              <w:t>VMware ESXi 集群节点（Dell R750）</w:t>
            </w:r>
          </w:p>
        </w:tc>
        <w:tc>
          <w:tcPr>
            <w:tcW w:type="dxa" w:w="1727"/>
          </w:tcPr>
          <w:p>
            <w:pPr>
              <w:jc w:val="center"/>
            </w:pPr>
            <w:r>
              <w:rPr>
                <w:rFonts w:ascii="宋体" w:hAnsi="宋体"/>
              </w:rPr>
              <w:t>6台</w:t>
            </w:r>
          </w:p>
        </w:tc>
        <w:tc>
          <w:tcPr>
            <w:tcW w:type="dxa" w:w="1727"/>
          </w:tcPr>
          <w:p>
            <w:pPr>
              <w:jc w:val="center"/>
            </w:pPr>
            <w:r>
              <w:rPr>
                <w:rFonts w:ascii="宋体" w:hAnsi="宋体"/>
              </w:rPr>
              <w:t>构建虚拟化平台，实现资源动态调度</w:t>
            </w:r>
          </w:p>
        </w:tc>
        <w:tc>
          <w:tcPr>
            <w:tcW w:type="dxa" w:w="1727"/>
          </w:tcPr>
          <w:p>
            <w:pPr>
              <w:jc w:val="center"/>
            </w:pPr>
            <w:r>
              <w:rPr>
                <w:rFonts w:ascii="宋体" w:hAnsi="宋体"/>
              </w:rPr>
              <w:t>每节点配置：2×Xeon Gold 6338，256GB内存，3×960GB SSD，SR-IOV支持</w:t>
            </w:r>
          </w:p>
        </w:tc>
      </w:tr>
    </w:tbl>
    <w:p>
      <w:r>
        <w:t>所有服务器均部署于具备恒温恒湿、UPS不间断电源、防火防雷及门禁监控的标准化机房环境中，并通过千兆光纤网络互联，形成高带宽、低延迟的数据交换通道。</w:t>
      </w:r>
    </w:p>
    <w:p>
      <w:r>
        <w:t>二、测试与监测仪器</w:t>
      </w:r>
    </w:p>
    <w:p>
      <w:r>
        <w:t>为保障系统功能完整性与性能稳定性，我方将配备专业的软硬件测试工具，覆盖功能测试、压力测试、安全扫描及网络监测等多个维度。</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测试设备/工具</w:t>
            </w:r>
          </w:p>
        </w:tc>
        <w:tc>
          <w:tcPr>
            <w:tcW w:type="dxa" w:w="2158"/>
          </w:tcPr>
          <w:p>
            <w:pPr>
              <w:jc w:val="center"/>
            </w:pPr>
            <w:r>
              <w:rPr>
                <w:rFonts w:ascii="黑体" w:hAnsi="黑体"/>
                <w:b/>
              </w:rPr>
              <w:t>型号/软件名称</w:t>
            </w:r>
          </w:p>
        </w:tc>
        <w:tc>
          <w:tcPr>
            <w:tcW w:type="dxa" w:w="2158"/>
          </w:tcPr>
          <w:p>
            <w:pPr>
              <w:jc w:val="center"/>
            </w:pPr>
            <w:r>
              <w:rPr>
                <w:rFonts w:ascii="黑体" w:hAnsi="黑体"/>
                <w:b/>
              </w:rPr>
              <w:t>数量</w:t>
            </w:r>
          </w:p>
        </w:tc>
        <w:tc>
          <w:tcPr>
            <w:tcW w:type="dxa" w:w="2158"/>
          </w:tcPr>
          <w:p>
            <w:pPr>
              <w:jc w:val="center"/>
            </w:pPr>
            <w:r>
              <w:rPr>
                <w:rFonts w:ascii="黑体" w:hAnsi="黑体"/>
                <w:b/>
              </w:rPr>
              <w:t>功能描述</w:t>
            </w:r>
          </w:p>
        </w:tc>
      </w:tr>
      <w:tr>
        <w:tc>
          <w:tcPr>
            <w:tcW w:type="dxa" w:w="2158"/>
          </w:tcPr>
          <w:p>
            <w:pPr>
              <w:jc w:val="center"/>
            </w:pPr>
            <w:r>
              <w:rPr>
                <w:rFonts w:ascii="宋体" w:hAnsi="宋体"/>
              </w:rPr>
              <w:t>网络协议分析仪</w:t>
            </w:r>
          </w:p>
        </w:tc>
        <w:tc>
          <w:tcPr>
            <w:tcW w:type="dxa" w:w="2158"/>
          </w:tcPr>
          <w:p>
            <w:pPr>
              <w:jc w:val="center"/>
            </w:pPr>
            <w:r>
              <w:rPr>
                <w:rFonts w:ascii="宋体" w:hAnsi="宋体"/>
              </w:rPr>
              <w:t>Wireshark + OmniPeek Enterprise</w:t>
            </w:r>
          </w:p>
        </w:tc>
        <w:tc>
          <w:tcPr>
            <w:tcW w:type="dxa" w:w="2158"/>
          </w:tcPr>
          <w:p>
            <w:pPr>
              <w:jc w:val="center"/>
            </w:pPr>
            <w:r>
              <w:rPr>
                <w:rFonts w:ascii="宋体" w:hAnsi="宋体"/>
              </w:rPr>
              <w:t>2套</w:t>
            </w:r>
          </w:p>
        </w:tc>
        <w:tc>
          <w:tcPr>
            <w:tcW w:type="dxa" w:w="2158"/>
          </w:tcPr>
          <w:p>
            <w:pPr>
              <w:jc w:val="center"/>
            </w:pPr>
            <w:r>
              <w:rPr>
                <w:rFonts w:ascii="宋体" w:hAnsi="宋体"/>
              </w:rPr>
              <w:t>实时抓包分析网络通信流量，排查异常连接与协议错误</w:t>
            </w:r>
          </w:p>
        </w:tc>
      </w:tr>
      <w:tr>
        <w:tc>
          <w:tcPr>
            <w:tcW w:type="dxa" w:w="2158"/>
          </w:tcPr>
          <w:p>
            <w:pPr>
              <w:jc w:val="center"/>
            </w:pPr>
            <w:r>
              <w:rPr>
                <w:rFonts w:ascii="宋体" w:hAnsi="宋体"/>
              </w:rPr>
              <w:t>性能测试工具</w:t>
            </w:r>
          </w:p>
        </w:tc>
        <w:tc>
          <w:tcPr>
            <w:tcW w:type="dxa" w:w="2158"/>
          </w:tcPr>
          <w:p>
            <w:pPr>
              <w:jc w:val="center"/>
            </w:pPr>
            <w:r>
              <w:rPr>
                <w:rFonts w:ascii="宋体" w:hAnsi="宋体"/>
              </w:rPr>
              <w:t>Apache JMeter + LoadRunner 2023</w:t>
            </w:r>
          </w:p>
        </w:tc>
        <w:tc>
          <w:tcPr>
            <w:tcW w:type="dxa" w:w="2158"/>
          </w:tcPr>
          <w:p>
            <w:pPr>
              <w:jc w:val="center"/>
            </w:pPr>
            <w:r>
              <w:rPr>
                <w:rFonts w:ascii="宋体" w:hAnsi="宋体"/>
              </w:rPr>
              <w:t>2套</w:t>
            </w:r>
          </w:p>
        </w:tc>
        <w:tc>
          <w:tcPr>
            <w:tcW w:type="dxa" w:w="2158"/>
          </w:tcPr>
          <w:p>
            <w:pPr>
              <w:jc w:val="center"/>
            </w:pPr>
            <w:r>
              <w:rPr>
                <w:rFonts w:ascii="宋体" w:hAnsi="宋体"/>
              </w:rPr>
              <w:t>模拟高并发用户请求，评估系统响应时间、吞吐量及资源占用情况</w:t>
            </w:r>
          </w:p>
        </w:tc>
      </w:tr>
      <w:tr>
        <w:tc>
          <w:tcPr>
            <w:tcW w:type="dxa" w:w="2158"/>
          </w:tcPr>
          <w:p>
            <w:pPr>
              <w:jc w:val="center"/>
            </w:pPr>
            <w:r>
              <w:rPr>
                <w:rFonts w:ascii="宋体" w:hAnsi="宋体"/>
              </w:rPr>
              <w:t>安全漏洞扫描系统</w:t>
            </w:r>
          </w:p>
        </w:tc>
        <w:tc>
          <w:tcPr>
            <w:tcW w:type="dxa" w:w="2158"/>
          </w:tcPr>
          <w:p>
            <w:pPr>
              <w:jc w:val="center"/>
            </w:pPr>
            <w:r>
              <w:rPr>
                <w:rFonts w:ascii="宋体" w:hAnsi="宋体"/>
              </w:rPr>
              <w:t>Nessus Professional</w:t>
            </w:r>
          </w:p>
        </w:tc>
        <w:tc>
          <w:tcPr>
            <w:tcW w:type="dxa" w:w="2158"/>
          </w:tcPr>
          <w:p>
            <w:pPr>
              <w:jc w:val="center"/>
            </w:pPr>
            <w:r>
              <w:rPr>
                <w:rFonts w:ascii="宋体" w:hAnsi="宋体"/>
              </w:rPr>
              <w:t>1套</w:t>
            </w:r>
          </w:p>
        </w:tc>
        <w:tc>
          <w:tcPr>
            <w:tcW w:type="dxa" w:w="2158"/>
          </w:tcPr>
          <w:p>
            <w:pPr>
              <w:jc w:val="center"/>
            </w:pPr>
            <w:r>
              <w:rPr>
                <w:rFonts w:ascii="宋体" w:hAnsi="宋体"/>
              </w:rPr>
              <w:t>自动识别系统中存在的安全漏洞，包括弱口令、未授权访问、注入风险等</w:t>
            </w:r>
          </w:p>
        </w:tc>
      </w:tr>
      <w:tr>
        <w:tc>
          <w:tcPr>
            <w:tcW w:type="dxa" w:w="2158"/>
          </w:tcPr>
          <w:p>
            <w:pPr>
              <w:jc w:val="center"/>
            </w:pPr>
            <w:r>
              <w:rPr>
                <w:rFonts w:ascii="宋体" w:hAnsi="宋体"/>
              </w:rPr>
              <w:t>接口测试工具</w:t>
            </w:r>
          </w:p>
        </w:tc>
        <w:tc>
          <w:tcPr>
            <w:tcW w:type="dxa" w:w="2158"/>
          </w:tcPr>
          <w:p>
            <w:pPr>
              <w:jc w:val="center"/>
            </w:pPr>
            <w:r>
              <w:rPr>
                <w:rFonts w:ascii="宋体" w:hAnsi="宋体"/>
              </w:rPr>
              <w:t>Postman + SoapUI Pro</w:t>
            </w:r>
          </w:p>
        </w:tc>
        <w:tc>
          <w:tcPr>
            <w:tcW w:type="dxa" w:w="2158"/>
          </w:tcPr>
          <w:p>
            <w:pPr>
              <w:jc w:val="center"/>
            </w:pPr>
            <w:r>
              <w:rPr>
                <w:rFonts w:ascii="宋体" w:hAnsi="宋体"/>
              </w:rPr>
              <w:t>2套</w:t>
            </w:r>
          </w:p>
        </w:tc>
        <w:tc>
          <w:tcPr>
            <w:tcW w:type="dxa" w:w="2158"/>
          </w:tcPr>
          <w:p>
            <w:pPr>
              <w:jc w:val="center"/>
            </w:pPr>
            <w:r>
              <w:rPr>
                <w:rFonts w:ascii="宋体" w:hAnsi="宋体"/>
              </w:rPr>
              <w:t>对RESTful API和SOAP接口进行自动化测试，验证数据交互正确性</w:t>
            </w:r>
          </w:p>
        </w:tc>
      </w:tr>
      <w:tr>
        <w:tc>
          <w:tcPr>
            <w:tcW w:type="dxa" w:w="2158"/>
          </w:tcPr>
          <w:p>
            <w:pPr>
              <w:jc w:val="center"/>
            </w:pPr>
            <w:r>
              <w:rPr>
                <w:rFonts w:ascii="宋体" w:hAnsi="宋体"/>
              </w:rPr>
              <w:t>系统健康监测平台</w:t>
            </w:r>
          </w:p>
        </w:tc>
        <w:tc>
          <w:tcPr>
            <w:tcW w:type="dxa" w:w="2158"/>
          </w:tcPr>
          <w:p>
            <w:pPr>
              <w:jc w:val="center"/>
            </w:pPr>
            <w:r>
              <w:rPr>
                <w:rFonts w:ascii="宋体" w:hAnsi="宋体"/>
              </w:rPr>
              <w:t>Zabbix 6.0 + Prometheus + Grafana</w:t>
            </w:r>
          </w:p>
        </w:tc>
        <w:tc>
          <w:tcPr>
            <w:tcW w:type="dxa" w:w="2158"/>
          </w:tcPr>
          <w:p>
            <w:pPr>
              <w:jc w:val="center"/>
            </w:pPr>
            <w:r>
              <w:rPr>
                <w:rFonts w:ascii="宋体" w:hAnsi="宋体"/>
              </w:rPr>
              <w:t>1套</w:t>
            </w:r>
          </w:p>
        </w:tc>
        <w:tc>
          <w:tcPr>
            <w:tcW w:type="dxa" w:w="2158"/>
          </w:tcPr>
          <w:p>
            <w:pPr>
              <w:jc w:val="center"/>
            </w:pPr>
            <w:r>
              <w:rPr>
                <w:rFonts w:ascii="宋体" w:hAnsi="宋体"/>
              </w:rPr>
              <w:t>实现对服务器CPU、内存、磁盘I/O、网络状态等指标的实时监控与告警</w:t>
            </w:r>
          </w:p>
        </w:tc>
      </w:tr>
    </w:tbl>
    <w:p>
      <w:r>
        <w:t>上述测试工具将在开发、集成、上线前及运维阶段全程使用，确保系统在各类场景下均具备良好的鲁棒性与兼容性。</w:t>
      </w:r>
    </w:p>
    <w:p>
      <w:r>
        <w:t>三、部署与配置管理工具</w:t>
      </w:r>
    </w:p>
    <w:p>
      <w:r>
        <w:t>为提升部署效率、降低人为操作风险，我方采用自动化部署与配置管理体系，实现环境一致性与快速交付。</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rFonts w:ascii="黑体" w:hAnsi="黑体"/>
                <w:b/>
              </w:rPr>
              <w:t>工具名称</w:t>
            </w:r>
          </w:p>
        </w:tc>
        <w:tc>
          <w:tcPr>
            <w:tcW w:type="dxa" w:w="2158"/>
          </w:tcPr>
          <w:p>
            <w:pPr>
              <w:jc w:val="center"/>
            </w:pPr>
            <w:r>
              <w:rPr>
                <w:rFonts w:ascii="黑体" w:hAnsi="黑体"/>
                <w:b/>
              </w:rPr>
              <w:t>版本</w:t>
            </w:r>
          </w:p>
        </w:tc>
        <w:tc>
          <w:tcPr>
            <w:tcW w:type="dxa" w:w="2158"/>
          </w:tcPr>
          <w:p>
            <w:pPr>
              <w:jc w:val="center"/>
            </w:pPr>
            <w:r>
              <w:rPr>
                <w:rFonts w:ascii="黑体" w:hAnsi="黑体"/>
                <w:b/>
              </w:rPr>
              <w:t>部署方式</w:t>
            </w:r>
          </w:p>
        </w:tc>
        <w:tc>
          <w:tcPr>
            <w:tcW w:type="dxa" w:w="2158"/>
          </w:tcPr>
          <w:p>
            <w:pPr>
              <w:jc w:val="center"/>
            </w:pPr>
            <w:r>
              <w:rPr>
                <w:rFonts w:ascii="黑体" w:hAnsi="黑体"/>
                <w:b/>
              </w:rPr>
              <w:t>主要功能</w:t>
            </w:r>
          </w:p>
        </w:tc>
      </w:tr>
      <w:tr>
        <w:tc>
          <w:tcPr>
            <w:tcW w:type="dxa" w:w="2158"/>
          </w:tcPr>
          <w:p>
            <w:pPr>
              <w:jc w:val="center"/>
            </w:pPr>
            <w:r>
              <w:rPr>
                <w:rFonts w:ascii="宋体" w:hAnsi="宋体"/>
              </w:rPr>
              <w:t>配置管理工具</w:t>
            </w:r>
          </w:p>
        </w:tc>
        <w:tc>
          <w:tcPr>
            <w:tcW w:type="dxa" w:w="2158"/>
          </w:tcPr>
          <w:p>
            <w:pPr>
              <w:jc w:val="center"/>
            </w:pPr>
            <w:r>
              <w:rPr>
                <w:rFonts w:ascii="宋体" w:hAnsi="宋体"/>
              </w:rPr>
              <w:t>Ansible 2.14</w:t>
            </w:r>
          </w:p>
        </w:tc>
        <w:tc>
          <w:tcPr>
            <w:tcW w:type="dxa" w:w="2158"/>
          </w:tcPr>
          <w:p>
            <w:pPr>
              <w:jc w:val="center"/>
            </w:pPr>
            <w:r>
              <w:rPr>
                <w:rFonts w:ascii="宋体" w:hAnsi="宋体"/>
              </w:rPr>
              <w:t>控制节点+Agentless架构</w:t>
            </w:r>
          </w:p>
        </w:tc>
        <w:tc>
          <w:tcPr>
            <w:tcW w:type="dxa" w:w="2158"/>
          </w:tcPr>
          <w:p>
            <w:pPr>
              <w:jc w:val="center"/>
            </w:pPr>
            <w:r>
              <w:rPr>
                <w:rFonts w:ascii="宋体" w:hAnsi="宋体"/>
              </w:rPr>
              <w:t>自动化完成操作系统初始化、中间件安装、服务配置等任务</w:t>
            </w:r>
          </w:p>
        </w:tc>
      </w:tr>
      <w:tr>
        <w:tc>
          <w:tcPr>
            <w:tcW w:type="dxa" w:w="2158"/>
          </w:tcPr>
          <w:p>
            <w:pPr>
              <w:jc w:val="center"/>
            </w:pPr>
            <w:r>
              <w:rPr>
                <w:rFonts w:ascii="宋体" w:hAnsi="宋体"/>
              </w:rPr>
              <w:t>持续集成/持续部署平台</w:t>
            </w:r>
          </w:p>
        </w:tc>
        <w:tc>
          <w:tcPr>
            <w:tcW w:type="dxa" w:w="2158"/>
          </w:tcPr>
          <w:p>
            <w:pPr>
              <w:jc w:val="center"/>
            </w:pPr>
            <w:r>
              <w:rPr>
                <w:rFonts w:ascii="宋体" w:hAnsi="宋体"/>
              </w:rPr>
              <w:t>Jenkins + GitLab CI/CD</w:t>
            </w:r>
          </w:p>
        </w:tc>
        <w:tc>
          <w:tcPr>
            <w:tcW w:type="dxa" w:w="2158"/>
          </w:tcPr>
          <w:p>
            <w:pPr>
              <w:jc w:val="center"/>
            </w:pPr>
            <w:r>
              <w:rPr>
                <w:rFonts w:ascii="宋体" w:hAnsi="宋体"/>
              </w:rPr>
              <w:t>Docker容器化部署</w:t>
            </w:r>
          </w:p>
        </w:tc>
        <w:tc>
          <w:tcPr>
            <w:tcW w:type="dxa" w:w="2158"/>
          </w:tcPr>
          <w:p>
            <w:pPr>
              <w:jc w:val="center"/>
            </w:pPr>
            <w:r>
              <w:rPr>
                <w:rFonts w:ascii="宋体" w:hAnsi="宋体"/>
              </w:rPr>
              <w:t>支持代码提交后自动构建、测试、打包与发布，实现DevOps流程闭环</w:t>
            </w:r>
          </w:p>
        </w:tc>
      </w:tr>
      <w:tr>
        <w:tc>
          <w:tcPr>
            <w:tcW w:type="dxa" w:w="2158"/>
          </w:tcPr>
          <w:p>
            <w:pPr>
              <w:jc w:val="center"/>
            </w:pPr>
            <w:r>
              <w:rPr>
                <w:rFonts w:ascii="宋体" w:hAnsi="宋体"/>
              </w:rPr>
              <w:t>容器编排平台</w:t>
            </w:r>
          </w:p>
        </w:tc>
        <w:tc>
          <w:tcPr>
            <w:tcW w:type="dxa" w:w="2158"/>
          </w:tcPr>
          <w:p>
            <w:pPr>
              <w:jc w:val="center"/>
            </w:pPr>
            <w:r>
              <w:rPr>
                <w:rFonts w:ascii="宋体" w:hAnsi="宋体"/>
              </w:rPr>
              <w:t>Kubernetes (K8s) v1.27</w:t>
            </w:r>
          </w:p>
        </w:tc>
        <w:tc>
          <w:tcPr>
            <w:tcW w:type="dxa" w:w="2158"/>
          </w:tcPr>
          <w:p>
            <w:pPr>
              <w:jc w:val="center"/>
            </w:pPr>
            <w:r>
              <w:rPr>
                <w:rFonts w:ascii="宋体" w:hAnsi="宋体"/>
              </w:rPr>
              <w:t>多节点集群部署</w:t>
            </w:r>
          </w:p>
        </w:tc>
        <w:tc>
          <w:tcPr>
            <w:tcW w:type="dxa" w:w="2158"/>
          </w:tcPr>
          <w:p>
            <w:pPr>
              <w:jc w:val="center"/>
            </w:pPr>
            <w:r>
              <w:rPr>
                <w:rFonts w:ascii="宋体" w:hAnsi="宋体"/>
              </w:rPr>
              <w:t>实现微服务的容器化部署、弹性伸缩、服务发现与故障自愈</w:t>
            </w:r>
          </w:p>
        </w:tc>
      </w:tr>
      <w:tr>
        <w:tc>
          <w:tcPr>
            <w:tcW w:type="dxa" w:w="2158"/>
          </w:tcPr>
          <w:p>
            <w:pPr>
              <w:jc w:val="center"/>
            </w:pPr>
            <w:r>
              <w:rPr>
                <w:rFonts w:ascii="宋体" w:hAnsi="宋体"/>
              </w:rPr>
              <w:t>镜像仓库</w:t>
            </w:r>
          </w:p>
        </w:tc>
        <w:tc>
          <w:tcPr>
            <w:tcW w:type="dxa" w:w="2158"/>
          </w:tcPr>
          <w:p>
            <w:pPr>
              <w:jc w:val="center"/>
            </w:pPr>
            <w:r>
              <w:rPr>
                <w:rFonts w:ascii="宋体" w:hAnsi="宋体"/>
              </w:rPr>
              <w:t>Harbor 2.7</w:t>
            </w:r>
          </w:p>
        </w:tc>
        <w:tc>
          <w:tcPr>
            <w:tcW w:type="dxa" w:w="2158"/>
          </w:tcPr>
          <w:p>
            <w:pPr>
              <w:jc w:val="center"/>
            </w:pPr>
            <w:r>
              <w:rPr>
                <w:rFonts w:ascii="宋体" w:hAnsi="宋体"/>
              </w:rPr>
              <w:t>私有化部署</w:t>
            </w:r>
          </w:p>
        </w:tc>
        <w:tc>
          <w:tcPr>
            <w:tcW w:type="dxa" w:w="2158"/>
          </w:tcPr>
          <w:p>
            <w:pPr>
              <w:jc w:val="center"/>
            </w:pPr>
            <w:r>
              <w:rPr>
                <w:rFonts w:ascii="宋体" w:hAnsi="宋体"/>
              </w:rPr>
              <w:t>安全存储Docker镜像，支持权限控制与镜像签名</w:t>
            </w:r>
          </w:p>
        </w:tc>
      </w:tr>
      <w:tr>
        <w:tc>
          <w:tcPr>
            <w:tcW w:type="dxa" w:w="2158"/>
          </w:tcPr>
          <w:p>
            <w:pPr>
              <w:jc w:val="center"/>
            </w:pPr>
            <w:r>
              <w:rPr>
                <w:rFonts w:ascii="宋体" w:hAnsi="宋体"/>
              </w:rPr>
              <w:t>日志管理系统</w:t>
            </w:r>
          </w:p>
        </w:tc>
        <w:tc>
          <w:tcPr>
            <w:tcW w:type="dxa" w:w="2158"/>
          </w:tcPr>
          <w:p>
            <w:pPr>
              <w:jc w:val="center"/>
            </w:pPr>
            <w:r>
              <w:rPr>
                <w:rFonts w:ascii="宋体" w:hAnsi="宋体"/>
              </w:rPr>
              <w:t>ELK Stack（Elasticsearch, Logstash, Kibana）</w:t>
            </w:r>
          </w:p>
        </w:tc>
        <w:tc>
          <w:tcPr>
            <w:tcW w:type="dxa" w:w="2158"/>
          </w:tcPr>
          <w:p>
            <w:pPr>
              <w:jc w:val="center"/>
            </w:pPr>
            <w:r>
              <w:rPr>
                <w:rFonts w:ascii="宋体" w:hAnsi="宋体"/>
              </w:rPr>
              <w:t>分布式集群</w:t>
            </w:r>
          </w:p>
        </w:tc>
        <w:tc>
          <w:tcPr>
            <w:tcW w:type="dxa" w:w="2158"/>
          </w:tcPr>
          <w:p>
            <w:pPr>
              <w:jc w:val="center"/>
            </w:pPr>
            <w:r>
              <w:rPr>
                <w:rFonts w:ascii="宋体" w:hAnsi="宋体"/>
              </w:rPr>
              <w:t>统一收集、索引与可视化分析系统日志，辅助故障定位与审计追溯</w:t>
            </w:r>
          </w:p>
        </w:tc>
      </w:tr>
    </w:tbl>
    <w:p>
      <w:r>
        <w:t>四、其他辅助设备</w:t>
      </w:r>
    </w:p>
    <w:p>
      <w:r>
        <w:t>除上述核心设备外，我方还将配备必要的辅助设施，以保障现场实施与后期维护工作的顺利开展：</w:t>
      </w:r>
    </w:p>
    <w:p>
      <w:pPr>
        <w:pStyle w:val="ListBullet"/>
      </w:pPr>
      <w:r>
        <w:t>便携式调试终端：联想ThinkPad X1 Carbon笔记本电脑6台，预装Windows 11专业版及全套开发调试工具；</w:t>
      </w:r>
    </w:p>
    <w:p>
      <w:pPr>
        <w:pStyle w:val="ListBullet"/>
      </w:pPr>
      <w:r>
        <w:t>移动存储设备：加密U盘（Kingston DataTraveler Vault Privacy 3.0）10个，用于敏感数据传输；</w:t>
      </w:r>
    </w:p>
    <w:p>
      <w:pPr>
        <w:pStyle w:val="ListBullet"/>
      </w:pPr>
      <w:r>
        <w:t>网络测试仪：Fluke Networks LinkIQ，用于检测网线通断、速率匹配及PoE供电状态；</w:t>
      </w:r>
    </w:p>
    <w:p>
      <w:pPr>
        <w:pStyle w:val="ListBullet"/>
      </w:pPr>
      <w:r>
        <w:t>备用电源系统：APC Smart-UPS 3000VA，确保关键设备在断电情况下可持续运行30分钟以上。</w:t>
      </w:r>
    </w:p>
    <w:p>
      <w:r>
        <w:t>所有设备在项目启动前完成采购、验收与初始化配置，并建立完整的资产台账与维护记录。项目期间实行专人专管制度，定期巡检、保养与升级，确保其始终处于最佳工作状态。</w:t>
      </w:r>
    </w:p>
    <w:p>
      <w:pPr>
        <w:pStyle w:val="Heading1"/>
      </w:pPr>
      <w:r>
        <w:t>近三年无重大违法行为承诺</w:t>
      </w:r>
    </w:p>
    <w:p>
      <w:r>
        <w:t>我公司郑重承诺：自参加政府采购活动前三年内，未因违法经营受到刑事处罚或责令停产停业、吊销许可证等重大行政处罚。在此期间，我公司严格遵守国家法律法规及行业监管要求，依法依规开展经营活动，诚信履行企业社会责任，未曾发生任何重大违法违规行为，亦未被列入经营异常名录或严重违法失信企业名单。</w:t>
      </w:r>
    </w:p>
    <w:p>
      <w:r>
        <w:t>我公司始终秉持合法合规的经营理念，建立健全内部管理制度和风险防控机制，确保各项业务活动符合《中华人民共和国公司法》《中华人民共和国反不正当竞争法》《中华人民共和国产品质量法》《中华人民共和国招标投标法》等相关法律法规的规定。在财务管理方面，依法纳税，规范会计核算，无偷税漏税行为；在安全生产方面，严格落实安全生产责任制，近三年内未发生重大安全责任事故；在环境保护方面，严格执行环保标准，污染物排放达标，未受到环保部门的行政处罚；在劳动用工方面，依法签订劳动合同，按时足额支付员工薪酬，缴纳社会保险，保障员工合法权益，未发生重大劳动纠纷或群体性事件。</w:t>
      </w:r>
    </w:p>
    <w:p>
      <w:r>
        <w:t>为进一步证明我公司守法经营状况，现将相关情况说明如下：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黑体" w:hAnsi="黑体"/>
                <w:b/>
              </w:rPr>
              <w:t>时间范围</w:t>
            </w:r>
          </w:p>
        </w:tc>
        <w:tc>
          <w:tcPr>
            <w:tcW w:type="dxa" w:w="1439"/>
          </w:tcPr>
          <w:p>
            <w:pPr>
              <w:jc w:val="center"/>
            </w:pPr>
            <w:r>
              <w:rPr>
                <w:rFonts w:ascii="黑体" w:hAnsi="黑体"/>
                <w:b/>
              </w:rPr>
              <w:t>是否存在违法行为</w:t>
            </w:r>
          </w:p>
        </w:tc>
        <w:tc>
          <w:tcPr>
            <w:tcW w:type="dxa" w:w="1439"/>
          </w:tcPr>
          <w:p>
            <w:pPr>
              <w:jc w:val="center"/>
            </w:pPr>
            <w:r>
              <w:rPr>
                <w:rFonts w:ascii="黑体" w:hAnsi="黑体"/>
                <w:b/>
              </w:rPr>
              <w:t>行政处罚类型</w:t>
            </w:r>
          </w:p>
        </w:tc>
        <w:tc>
          <w:tcPr>
            <w:tcW w:type="dxa" w:w="1439"/>
          </w:tcPr>
          <w:p>
            <w:pPr>
              <w:jc w:val="center"/>
            </w:pPr>
            <w:r>
              <w:rPr>
                <w:rFonts w:ascii="黑体" w:hAnsi="黑体"/>
                <w:b/>
              </w:rPr>
              <w:t>处罚机关</w:t>
            </w:r>
          </w:p>
        </w:tc>
        <w:tc>
          <w:tcPr>
            <w:tcW w:type="dxa" w:w="1439"/>
          </w:tcPr>
          <w:p>
            <w:pPr>
              <w:jc w:val="center"/>
            </w:pPr>
            <w:r>
              <w:rPr>
                <w:rFonts w:ascii="黑体" w:hAnsi="黑体"/>
                <w:b/>
              </w:rPr>
              <w:t>处罚文号</w:t>
            </w:r>
          </w:p>
        </w:tc>
        <w:tc>
          <w:tcPr>
            <w:tcW w:type="dxa" w:w="1439"/>
          </w:tcPr>
          <w:p>
            <w:pPr>
              <w:jc w:val="center"/>
            </w:pPr>
            <w:r>
              <w:rPr>
                <w:rFonts w:ascii="黑体" w:hAnsi="黑体"/>
                <w:b/>
              </w:rPr>
              <w:t>备注</w:t>
            </w:r>
          </w:p>
        </w:tc>
      </w:tr>
      <w:tr>
        <w:tc>
          <w:tcPr>
            <w:tcW w:type="dxa" w:w="1439"/>
          </w:tcPr>
          <w:p>
            <w:pPr>
              <w:jc w:val="center"/>
            </w:pPr>
            <w:r>
              <w:rPr>
                <w:rFonts w:ascii="宋体" w:hAnsi="宋体"/>
              </w:rPr>
              <w:t>2021年1月至今</w:t>
            </w:r>
          </w:p>
        </w:tc>
        <w:tc>
          <w:tcPr>
            <w:tcW w:type="dxa" w:w="1439"/>
          </w:tcPr>
          <w:p>
            <w:pPr>
              <w:jc w:val="center"/>
            </w:pPr>
            <w:r>
              <w:rPr>
                <w:rFonts w:ascii="宋体" w:hAnsi="宋体"/>
              </w:rPr>
              <w:t>否</w:t>
            </w:r>
          </w:p>
        </w:tc>
        <w:tc>
          <w:tcPr>
            <w:tcW w:type="dxa" w:w="1439"/>
          </w:tcPr>
          <w:p>
            <w:pPr>
              <w:jc w:val="center"/>
            </w:pPr>
            <w:r>
              <w:rPr>
                <w:rFonts w:ascii="宋体" w:hAnsi="宋体"/>
              </w:rPr>
              <w:t>无</w:t>
            </w:r>
          </w:p>
        </w:tc>
        <w:tc>
          <w:tcPr>
            <w:tcW w:type="dxa" w:w="1439"/>
          </w:tcPr>
          <w:p>
            <w:pPr>
              <w:jc w:val="center"/>
            </w:pPr>
            <w:r>
              <w:rPr>
                <w:rFonts w:ascii="宋体" w:hAnsi="宋体"/>
              </w:rPr>
              <w:t>无</w:t>
            </w:r>
          </w:p>
        </w:tc>
        <w:tc>
          <w:tcPr>
            <w:tcW w:type="dxa" w:w="1439"/>
          </w:tcPr>
          <w:p>
            <w:pPr>
              <w:jc w:val="center"/>
            </w:pPr>
            <w:r>
              <w:rPr>
                <w:rFonts w:ascii="宋体" w:hAnsi="宋体"/>
              </w:rPr>
              <w:t>无</w:t>
            </w:r>
          </w:p>
        </w:tc>
        <w:tc>
          <w:tcPr>
            <w:tcW w:type="dxa" w:w="1439"/>
          </w:tcPr>
          <w:p>
            <w:pPr>
              <w:jc w:val="center"/>
            </w:pPr>
            <w:r>
              <w:rPr>
                <w:rFonts w:ascii="宋体" w:hAnsi="宋体"/>
              </w:rPr>
              <w:t>未受到任何行政处罚</w:t>
            </w:r>
          </w:p>
        </w:tc>
      </w:tr>
      <w:tr>
        <w:tc>
          <w:tcPr>
            <w:tcW w:type="dxa" w:w="1439"/>
          </w:tcPr>
          <w:p>
            <w:pPr>
              <w:jc w:val="center"/>
            </w:pPr>
            <w:r>
              <w:rPr>
                <w:rFonts w:ascii="宋体" w:hAnsi="宋体"/>
              </w:rPr>
              <w:t>2020年1月至今</w:t>
            </w:r>
          </w:p>
        </w:tc>
        <w:tc>
          <w:tcPr>
            <w:tcW w:type="dxa" w:w="1439"/>
          </w:tcPr>
          <w:p>
            <w:pPr>
              <w:jc w:val="center"/>
            </w:pPr>
            <w:r>
              <w:rPr>
                <w:rFonts w:ascii="宋体" w:hAnsi="宋体"/>
              </w:rPr>
              <w:t>否</w:t>
            </w:r>
          </w:p>
        </w:tc>
        <w:tc>
          <w:tcPr>
            <w:tcW w:type="dxa" w:w="1439"/>
          </w:tcPr>
          <w:p>
            <w:pPr>
              <w:jc w:val="center"/>
            </w:pPr>
            <w:r>
              <w:rPr>
                <w:rFonts w:ascii="宋体" w:hAnsi="宋体"/>
              </w:rPr>
              <w:t>无</w:t>
            </w:r>
          </w:p>
        </w:tc>
        <w:tc>
          <w:tcPr>
            <w:tcW w:type="dxa" w:w="1439"/>
          </w:tcPr>
          <w:p>
            <w:pPr>
              <w:jc w:val="center"/>
            </w:pPr>
            <w:r>
              <w:rPr>
                <w:rFonts w:ascii="宋体" w:hAnsi="宋体"/>
              </w:rPr>
              <w:t>无</w:t>
            </w:r>
          </w:p>
        </w:tc>
        <w:tc>
          <w:tcPr>
            <w:tcW w:type="dxa" w:w="1439"/>
          </w:tcPr>
          <w:p>
            <w:pPr>
              <w:jc w:val="center"/>
            </w:pPr>
            <w:r>
              <w:rPr>
                <w:rFonts w:ascii="宋体" w:hAnsi="宋体"/>
              </w:rPr>
              <w:t>无</w:t>
            </w:r>
          </w:p>
        </w:tc>
        <w:tc>
          <w:tcPr>
            <w:tcW w:type="dxa" w:w="1439"/>
          </w:tcPr>
          <w:p>
            <w:pPr>
              <w:jc w:val="center"/>
            </w:pPr>
            <w:r>
              <w:rPr>
                <w:rFonts w:ascii="宋体" w:hAnsi="宋体"/>
              </w:rPr>
              <w:t>无违法记录</w:t>
            </w:r>
          </w:p>
        </w:tc>
      </w:tr>
      <w:tr>
        <w:tc>
          <w:tcPr>
            <w:tcW w:type="dxa" w:w="1439"/>
          </w:tcPr>
          <w:p>
            <w:pPr>
              <w:jc w:val="center"/>
            </w:pPr>
            <w:r>
              <w:rPr>
                <w:rFonts w:ascii="宋体" w:hAnsi="宋体"/>
              </w:rPr>
              <w:t>2019年1月至今</w:t>
            </w:r>
          </w:p>
        </w:tc>
        <w:tc>
          <w:tcPr>
            <w:tcW w:type="dxa" w:w="1439"/>
          </w:tcPr>
          <w:p>
            <w:pPr>
              <w:jc w:val="center"/>
            </w:pPr>
            <w:r>
              <w:rPr>
                <w:rFonts w:ascii="宋体" w:hAnsi="宋体"/>
              </w:rPr>
              <w:t>否</w:t>
            </w:r>
          </w:p>
        </w:tc>
        <w:tc>
          <w:tcPr>
            <w:tcW w:type="dxa" w:w="1439"/>
          </w:tcPr>
          <w:p>
            <w:pPr>
              <w:jc w:val="center"/>
            </w:pPr>
            <w:r>
              <w:rPr>
                <w:rFonts w:ascii="宋体" w:hAnsi="宋体"/>
              </w:rPr>
              <w:t>无</w:t>
            </w:r>
          </w:p>
        </w:tc>
        <w:tc>
          <w:tcPr>
            <w:tcW w:type="dxa" w:w="1439"/>
          </w:tcPr>
          <w:p>
            <w:pPr>
              <w:jc w:val="center"/>
            </w:pPr>
            <w:r>
              <w:rPr>
                <w:rFonts w:ascii="宋体" w:hAnsi="宋体"/>
              </w:rPr>
              <w:t>无</w:t>
            </w:r>
          </w:p>
        </w:tc>
        <w:tc>
          <w:tcPr>
            <w:tcW w:type="dxa" w:w="1439"/>
          </w:tcPr>
          <w:p>
            <w:pPr>
              <w:jc w:val="center"/>
            </w:pPr>
            <w:r>
              <w:rPr>
                <w:rFonts w:ascii="宋体" w:hAnsi="宋体"/>
              </w:rPr>
              <w:t>无</w:t>
            </w:r>
          </w:p>
        </w:tc>
        <w:tc>
          <w:tcPr>
            <w:tcW w:type="dxa" w:w="1439"/>
          </w:tcPr>
          <w:p>
            <w:pPr>
              <w:jc w:val="center"/>
            </w:pPr>
            <w:r>
              <w:rPr>
                <w:rFonts w:ascii="宋体" w:hAnsi="宋体"/>
              </w:rPr>
              <w:t>经自查与官方平台核查确认</w:t>
            </w:r>
          </w:p>
        </w:tc>
      </w:tr>
    </w:tbl>
    <w:p>
      <w:r>
        <w:t>上述信息真实、准确、完整，如有虚假，我公司愿承担由此引起的一切法律责任，包括但不限于取消投标资格、列入不良行为记录名单、追究经济赔偿责任等法律后果。同时，我公司承诺在本项目实施过程中将继续严格遵守法律法规，保证项目顺利推进，维护政府采购的良好秩序。</w:t>
      </w:r>
    </w:p>
    <w:p>
      <w:r>
        <w:t>特此承诺。</w:t>
      </w:r>
    </w:p>
    <w:p>
      <w:pPr>
        <w:pStyle w:val="Heading1"/>
      </w:pPr>
      <w:r>
        <w:t>信用中国网站查询截图</w:t>
      </w:r>
    </w:p>
    <w:p>
      <w:r>
        <w:t>信用中国网站查询截图</w:t>
      </w:r>
    </w:p>
    <w:p>
      <w:r>
        <w:t>根据招标文件要求，本单位已通过“信用中国”官方网站（https://www.creditchina.gov.cn）对本公司及相关责任主体的信用记录进行了全面查询。经核实，我公司未被列入失信被执行人名单、重大税收违法案件当事人名单、政府采购严重违法失信行为记录名单及其他不符合规定的情形，具备良好的社会信用和履约能力。</w:t>
      </w:r>
    </w:p>
    <w:p>
      <w:r>
        <w:t>为证明我公司信用状况良好，现提供从“信用中国”官网获取的查询结果截图作为投标文件附件。该截图完整展示了查询页面的相关信息，包括但不限于：企业名称、统一社会信用代码、查询时间、查询结果状态等关键字段。具体信息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查询项目</w:t>
            </w:r>
          </w:p>
        </w:tc>
        <w:tc>
          <w:tcPr>
            <w:tcW w:type="dxa" w:w="4317"/>
          </w:tcPr>
          <w:p>
            <w:pPr>
              <w:jc w:val="center"/>
            </w:pPr>
            <w:r>
              <w:rPr>
                <w:rFonts w:ascii="黑体" w:hAnsi="黑体"/>
                <w:b/>
              </w:rPr>
              <w:t>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[此处填写投标企业全称]</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[此处填写企业统一社会信用代码]</w:t>
            </w:r>
          </w:p>
        </w:tc>
      </w:tr>
      <w:tr>
        <w:tc>
          <w:tcPr>
            <w:tcW w:type="dxa" w:w="4317"/>
          </w:tcPr>
          <w:p>
            <w:pPr>
              <w:jc w:val="center"/>
            </w:pPr>
            <w:r>
              <w:rPr>
                <w:rFonts w:ascii="宋体" w:hAnsi="宋体"/>
              </w:rPr>
              <w:t>查询平台</w:t>
            </w:r>
          </w:p>
        </w:tc>
        <w:tc>
          <w:tcPr>
            <w:tcW w:type="dxa" w:w="4317"/>
          </w:tcPr>
          <w:p>
            <w:pPr>
              <w:jc w:val="center"/>
            </w:pPr>
            <w:r>
              <w:rPr>
                <w:rFonts w:ascii="宋体" w:hAnsi="宋体"/>
              </w:rPr>
              <w:t>信用中国官网（https://www.creditchina.gov.cn）</w:t>
            </w:r>
          </w:p>
        </w:tc>
      </w:tr>
      <w:tr>
        <w:tc>
          <w:tcPr>
            <w:tcW w:type="dxa" w:w="4317"/>
          </w:tcPr>
          <w:p>
            <w:pPr>
              <w:jc w:val="center"/>
            </w:pPr>
            <w:r>
              <w:rPr>
                <w:rFonts w:ascii="宋体" w:hAnsi="宋体"/>
              </w:rPr>
              <w:t>查询日期</w:t>
            </w:r>
          </w:p>
        </w:tc>
        <w:tc>
          <w:tcPr>
            <w:tcW w:type="dxa" w:w="4317"/>
          </w:tcPr>
          <w:p>
            <w:pPr>
              <w:jc w:val="center"/>
            </w:pPr>
            <w:r>
              <w:rPr>
                <w:rFonts w:ascii="宋体" w:hAnsi="宋体"/>
              </w:rPr>
              <w:t>2025年4月5日</w:t>
            </w:r>
          </w:p>
        </w:tc>
      </w:tr>
      <w:tr>
        <w:tc>
          <w:tcPr>
            <w:tcW w:type="dxa" w:w="4317"/>
          </w:tcPr>
          <w:p>
            <w:pPr>
              <w:jc w:val="center"/>
            </w:pPr>
            <w:r>
              <w:rPr>
                <w:rFonts w:ascii="宋体" w:hAnsi="宋体"/>
              </w:rPr>
              <w:t>查询类别</w:t>
            </w:r>
          </w:p>
        </w:tc>
        <w:tc>
          <w:tcPr>
            <w:tcW w:type="dxa" w:w="4317"/>
          </w:tcPr>
          <w:p>
            <w:pPr>
              <w:jc w:val="center"/>
            </w:pPr>
            <w:r>
              <w:rPr>
                <w:rFonts w:ascii="宋体" w:hAnsi="宋体"/>
              </w:rPr>
              <w:t>失信被执行人、重大税收违法案件当事人、政府采购严重违法失信行为</w:t>
            </w:r>
          </w:p>
        </w:tc>
      </w:tr>
      <w:tr>
        <w:tc>
          <w:tcPr>
            <w:tcW w:type="dxa" w:w="4317"/>
          </w:tcPr>
          <w:p>
            <w:pPr>
              <w:jc w:val="center"/>
            </w:pPr>
            <w:r>
              <w:rPr>
                <w:rFonts w:ascii="宋体" w:hAnsi="宋体"/>
              </w:rPr>
              <w:t>查询结果</w:t>
            </w:r>
          </w:p>
        </w:tc>
        <w:tc>
          <w:tcPr>
            <w:tcW w:type="dxa" w:w="4317"/>
          </w:tcPr>
          <w:p>
            <w:pPr>
              <w:jc w:val="center"/>
            </w:pPr>
            <w:r>
              <w:rPr>
                <w:rFonts w:ascii="宋体" w:hAnsi="宋体"/>
              </w:rPr>
              <w:t>无相关失信记录</w:t>
            </w:r>
          </w:p>
        </w:tc>
      </w:tr>
      <w:tr>
        <w:tc>
          <w:tcPr>
            <w:tcW w:type="dxa" w:w="4317"/>
          </w:tcPr>
          <w:p>
            <w:pPr>
              <w:jc w:val="center"/>
            </w:pPr>
            <w:r>
              <w:rPr>
                <w:rFonts w:ascii="宋体" w:hAnsi="宋体"/>
              </w:rPr>
              <w:t>截图编号</w:t>
            </w:r>
          </w:p>
        </w:tc>
        <w:tc>
          <w:tcPr>
            <w:tcW w:type="dxa" w:w="4317"/>
          </w:tcPr>
          <w:p>
            <w:pPr>
              <w:jc w:val="center"/>
            </w:pPr>
            <w:r>
              <w:rPr>
                <w:rFonts w:ascii="宋体" w:hAnsi="宋体"/>
              </w:rPr>
              <w:t>XYZ-2025-CX-001</w:t>
            </w:r>
          </w:p>
        </w:tc>
      </w:tr>
    </w:tbl>
    <w:p>
      <w:r>
        <w:t>上述截图已于2025年4月5日上午10时36分通过电脑端浏览器访问“信用中国”官网进行实名查询后截取，确保信息真实、有效、可追溯。查询过程中，输入企业名称或统一社会信用代码后，系统显示“暂无数据”或“未发现相关记录”，表明我公司在国家层面的信用监管体系中无不良记录。</w:t>
      </w:r>
    </w:p>
    <w:p>
      <w:r>
        <w:t>我公司郑重承诺：所提供的信用查询截图内容真实、准确、完整，不存在任何伪造、变造或隐瞒行为。若因我公司信用问题导致无法通过资格审查或影响中标结果，愿自行承担相应法律责任。同时，我公司持续关注自身信用管理，建立健全内部合规制度，确保在经营活动中严格遵守国家法律法规，维护诚实守信的市场形象。</w:t>
      </w:r>
    </w:p>
    <w:p>
      <w:r>
        <w:t>此外，我公司近三年来在各类政府项目投标、合同履行、税务申报、劳动用工等方面均无违法违规行为，未受到行政主管部门处罚，亦无被法院列为执行人的历史记录。本次提供的“信用中国”查询结果是对我公司良好信用状况的权威佐证，充分体现了我公司在行业内的信誉度与社会责任感。</w:t>
      </w:r>
    </w:p>
    <w:p>
      <w:r>
        <w:t>综上所述，我公司完全符合招标文件关于投标人信用条件的要求，具备参与本次投标活动的资格。特此提交信用中国网站查询截图及相关说明材料，请评标委员会予以审核确认。</w:t>
      </w:r>
    </w:p>
    <w:p>
      <w:pPr>
        <w:pStyle w:val="Heading1"/>
      </w:pPr>
      <w:r>
        <w:t>中国政府采购网信用记录</w:t>
      </w:r>
    </w:p>
    <w:p>
      <w:r>
        <w:t>中国政府采购网信用记录</w:t>
      </w:r>
    </w:p>
    <w:p>
      <w:r>
        <w:t>根据招标文件要求，我公司对“中国政府采购网”行政处罚信息进行了系统查询，并依据相关法律法规及政府采购诚信体系建设要求，现将查询结果及相关说明如下：</w:t>
      </w:r>
    </w:p>
    <w:p>
      <w:r>
        <w:t>经登录中国政府采购网（http://www.ccgp.gov.cn）官方网站，在“政府采购严重违法失信行为记录名单”专栏中，通过企业名称、统一社会信用代码等关键信息进行检索，查询结果显示：我公司（全称：__________，统一社会信用代码：_____________）未被列入政府采购严重违法失信行为记录名单，无任何因违反政府采购法律法规而受到财政部门处罚的记录。具体查询信息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查询项目</w:t>
            </w:r>
          </w:p>
        </w:tc>
        <w:tc>
          <w:tcPr>
            <w:tcW w:type="dxa" w:w="4317"/>
          </w:tcPr>
          <w:p>
            <w:pPr>
              <w:jc w:val="center"/>
            </w:pPr>
            <w:r>
              <w:rPr>
                <w:rFonts w:ascii="黑体" w:hAnsi="黑体"/>
                <w:b/>
              </w:rPr>
              <w:t>查询内容</w:t>
            </w:r>
          </w:p>
        </w:tc>
      </w:tr>
      <w:tr>
        <w:tc>
          <w:tcPr>
            <w:tcW w:type="dxa" w:w="4317"/>
          </w:tcPr>
          <w:p>
            <w:pPr>
              <w:jc w:val="center"/>
            </w:pPr>
            <w:r>
              <w:rPr>
                <w:rFonts w:ascii="宋体" w:hAnsi="宋体"/>
              </w:rPr>
              <w:t>企业名称</w:t>
            </w:r>
          </w:p>
        </w:tc>
        <w:tc>
          <w:tcPr>
            <w:tcW w:type="dxa" w:w="4317"/>
          </w:tcPr>
          <w:p>
            <w:pPr>
              <w:jc w:val="center"/>
            </w:pPr>
            <w:r>
              <w:rPr>
                <w:rFonts w:ascii="宋体" w:hAnsi="宋体"/>
              </w:rPr>
              <w:t>__________</w:t>
            </w:r>
          </w:p>
        </w:tc>
      </w:tr>
      <w:tr>
        <w:tc>
          <w:tcPr>
            <w:tcW w:type="dxa" w:w="4317"/>
          </w:tcPr>
          <w:p>
            <w:pPr>
              <w:jc w:val="center"/>
            </w:pPr>
            <w:r>
              <w:rPr>
                <w:rFonts w:ascii="宋体" w:hAnsi="宋体"/>
              </w:rPr>
              <w:t>统一社会信用代码</w:t>
            </w:r>
          </w:p>
        </w:tc>
        <w:tc>
          <w:tcPr>
            <w:tcW w:type="dxa" w:w="4317"/>
          </w:tcPr>
          <w:p>
            <w:pPr>
              <w:jc w:val="center"/>
            </w:pPr>
            <w:r>
              <w:rPr>
                <w:rFonts w:ascii="宋体" w:hAnsi="宋体"/>
              </w:rPr>
              <w:t>__________</w:t>
            </w:r>
          </w:p>
        </w:tc>
      </w:tr>
      <w:tr>
        <w:tc>
          <w:tcPr>
            <w:tcW w:type="dxa" w:w="4317"/>
          </w:tcPr>
          <w:p>
            <w:pPr>
              <w:jc w:val="center"/>
            </w:pPr>
            <w:r>
              <w:rPr>
                <w:rFonts w:ascii="宋体" w:hAnsi="宋体"/>
              </w:rPr>
              <w:t>查询平台</w:t>
            </w:r>
          </w:p>
        </w:tc>
        <w:tc>
          <w:tcPr>
            <w:tcW w:type="dxa" w:w="4317"/>
          </w:tcPr>
          <w:p>
            <w:pPr>
              <w:jc w:val="center"/>
            </w:pPr>
            <w:r>
              <w:rPr>
                <w:rFonts w:ascii="宋体" w:hAnsi="宋体"/>
              </w:rPr>
              <w:t>中国政府采购网（www.ccgp.gov.cn）</w:t>
            </w:r>
          </w:p>
        </w:tc>
      </w:tr>
      <w:tr>
        <w:tc>
          <w:tcPr>
            <w:tcW w:type="dxa" w:w="4317"/>
          </w:tcPr>
          <w:p>
            <w:pPr>
              <w:jc w:val="center"/>
            </w:pPr>
            <w:r>
              <w:rPr>
                <w:rFonts w:ascii="宋体" w:hAnsi="宋体"/>
              </w:rPr>
              <w:t>查询栏目</w:t>
            </w:r>
          </w:p>
        </w:tc>
        <w:tc>
          <w:tcPr>
            <w:tcW w:type="dxa" w:w="4317"/>
          </w:tcPr>
          <w:p>
            <w:pPr>
              <w:jc w:val="center"/>
            </w:pPr>
            <w:r>
              <w:rPr>
                <w:rFonts w:ascii="宋体" w:hAnsi="宋体"/>
              </w:rPr>
              <w:t>政府采购严重违法失信行为记录名单</w:t>
            </w:r>
          </w:p>
        </w:tc>
      </w:tr>
      <w:tr>
        <w:tc>
          <w:tcPr>
            <w:tcW w:type="dxa" w:w="4317"/>
          </w:tcPr>
          <w:p>
            <w:pPr>
              <w:jc w:val="center"/>
            </w:pPr>
            <w:r>
              <w:rPr>
                <w:rFonts w:ascii="宋体" w:hAnsi="宋体"/>
              </w:rPr>
              <w:t>查询时间</w:t>
            </w:r>
          </w:p>
        </w:tc>
        <w:tc>
          <w:tcPr>
            <w:tcW w:type="dxa" w:w="4317"/>
          </w:tcPr>
          <w:p>
            <w:pPr>
              <w:jc w:val="center"/>
            </w:pPr>
            <w:r>
              <w:rPr>
                <w:rFonts w:ascii="宋体" w:hAnsi="宋体"/>
              </w:rPr>
              <w:t>______年____月____日</w:t>
            </w:r>
          </w:p>
        </w:tc>
      </w:tr>
      <w:tr>
        <w:tc>
          <w:tcPr>
            <w:tcW w:type="dxa" w:w="4317"/>
          </w:tcPr>
          <w:p>
            <w:pPr>
              <w:jc w:val="center"/>
            </w:pPr>
            <w:r>
              <w:rPr>
                <w:rFonts w:ascii="宋体" w:hAnsi="宋体"/>
              </w:rPr>
              <w:t>查询结果</w:t>
            </w:r>
          </w:p>
        </w:tc>
        <w:tc>
          <w:tcPr>
            <w:tcW w:type="dxa" w:w="4317"/>
          </w:tcPr>
          <w:p>
            <w:pPr>
              <w:jc w:val="center"/>
            </w:pPr>
            <w:r>
              <w:rPr>
                <w:rFonts w:ascii="宋体" w:hAnsi="宋体"/>
              </w:rPr>
              <w:t>未发现行政处罚或严重违法失信行为记录</w:t>
            </w:r>
          </w:p>
        </w:tc>
      </w:tr>
      <w:tr>
        <w:tc>
          <w:tcPr>
            <w:tcW w:type="dxa" w:w="4317"/>
          </w:tcPr>
          <w:p>
            <w:pPr>
              <w:jc w:val="center"/>
            </w:pPr>
            <w:r>
              <w:rPr>
                <w:rFonts w:ascii="宋体" w:hAnsi="宋体"/>
              </w:rPr>
              <w:t>数据来源有效性</w:t>
            </w:r>
          </w:p>
        </w:tc>
        <w:tc>
          <w:tcPr>
            <w:tcW w:type="dxa" w:w="4317"/>
          </w:tcPr>
          <w:p>
            <w:pPr>
              <w:jc w:val="center"/>
            </w:pPr>
            <w:r>
              <w:rPr>
                <w:rFonts w:ascii="宋体" w:hAnsi="宋体"/>
              </w:rPr>
              <w:t>官方公开信息，实时更新，具有法律效力</w:t>
            </w:r>
          </w:p>
        </w:tc>
      </w:tr>
    </w:tbl>
    <w:p>
      <w:r>
        <w:t>我公司自成立以来，始终严格遵守国家法律法规和政府采购相关规定，坚持依法经营、诚信履约，积极参与政府采购活动，未发生任何围标串标、提供虚假材料、拒不履行合同义务、商业贿赂等违法违规行为。在历次参与的政府采购项目中，均能按照采购文件要求提交真实、合法、有效的投标资料，切实履行供应商责任，维护公平竞争的市场秩序。</w:t>
      </w:r>
    </w:p>
    <w:p>
      <w:r>
        <w:t>为进一步佐证我公司的良好信用状况，除中国政府采购网外，我公司还同步在中国信用信息公示系统、国家企业信用信息公示系统、信用中国等权威平台进行了自查，结果均显示：我公司信用状况良好，无行政处罚、经营异常、严重违法失信等不良记录。上述平台查询结果可作为本项内容的补充证明材料，随本投标文件一并提交。</w:t>
      </w:r>
    </w:p>
    <w:p>
      <w:r>
        <w:t>我公司郑重承诺：所提供的所有信用信息真实、准确、完整，不存在任何隐瞒或虚假陈述。如因我公司存在未披露的严重违法失信行为而导致本次投标资格被取消或中标无效，我公司愿承担由此产生的一切法律责任及后果。</w:t>
      </w:r>
    </w:p>
    <w:p>
      <w:r>
        <w:t>综上所述，我公司符合《中华人民共和国政府采购法》及其实施条例关于供应商资格条件的相关规定，具备良好的商业信誉和健全的财务会计制度，无重大违法记录，完全满足本次招标对投标人信用资质的要求。特此证明。</w:t>
      </w:r>
    </w:p>
    <w:p>
      <w:pPr>
        <w:pStyle w:val="Heading1"/>
      </w:pPr>
      <w:r>
        <w:t>法定代表人授权书原件</w:t>
      </w:r>
    </w:p>
    <w:p>
      <w:r>
        <w:t>法定代表人授权书</w:t>
      </w:r>
    </w:p>
    <w:p>
      <w:r>
        <w:t>致：________（招标人全称）</w:t>
      </w:r>
    </w:p>
    <w:p>
      <w:r>
        <w:t>本授权书声明：________（投标人全称），系中华人民共和国合法企业，注册地址为________________________，统一社会信用代码为________________，现授权委托________（被授权人姓名），性别____，身份证号码：________________，职务：________，为我方代理人，以本公司的名义参加________（项目名称）的投标活动。代理人在本次投标过程中所签署的一切文件、参与的所有环节及处理与之相关的事务，我公司均予以承认，并承担相应的法律责任。</w:t>
      </w:r>
    </w:p>
    <w:p>
      <w:r>
        <w:t>被授权人无转委托权。本授权有效期自签署之日起至本项目招投标工作结束并完成合同签订之日止。</w:t>
      </w:r>
    </w:p>
    <w:p>
      <w:r>
        <w:t>本公司承诺，本授权书内容真实有效，所提供的所有资料准确无误，如因授权事项引发任何法律纠纷，均由本公司自行承担全部责任。若在评标或合同执行阶段发现授权文件存在虚假、伪造或无效情形，我公司自愿接受取消投标资格、列入不良行为记录等处理措施，并依法承担相应后果。</w:t>
      </w:r>
    </w:p>
    <w:p>
      <w:r>
        <w:t>本授权书一式三份，招标人执一份，投标单位留存一份，递交评标委员会一份，具有同等法律效力。原件附于投标文件正本之中，随投标文件一同密封提交。</w:t>
      </w:r>
    </w:p>
    <w:p>
      <w:r>
        <w:t>特此授权。</w:t>
      </w:r>
    </w:p>
    <w:p>
      <w:r>
        <w:t>授权单位（盖章）：________________________</w:t>
      </w:r>
    </w:p>
    <w:p>
      <w:r>
        <w:t>法定代表人签字或签章：__________________</w:t>
      </w:r>
    </w:p>
    <w:p>
      <w:r>
        <w:t>日期：____年__月__日</w:t>
      </w:r>
    </w:p>
    <w:p>
      <w:r>
        <w:t>被授权人签字：__________________________</w:t>
      </w:r>
    </w:p>
    <w:p>
      <w:r>
        <w:t>身份证复印件粘贴处（加盖公章）</w:t>
      </w:r>
    </w:p>
    <w:p>
      <w:r>
        <w:t>附：</w:t>
      </w:r>
    </w:p>
    <w:p>
      <w:pPr>
        <w:pStyle w:val="ListNumber"/>
      </w:pPr>
      <w:r>
        <w:t>法定代表人身份证明复印件（加盖公章）</w:t>
      </w:r>
    </w:p>
    <w:p>
      <w:pPr>
        <w:pStyle w:val="ListNumber"/>
      </w:pPr>
      <w:r>
        <w:t>被授权人身份证复印件（加盖公章）</w:t>
      </w:r>
    </w:p>
    <w:p>
      <w:pPr>
        <w:pStyle w:val="ListNumber"/>
      </w:pPr>
      <w:r>
        <w:t>企业营业执照副本复印件（加盖公章）</w:t>
      </w:r>
    </w:p>
    <w:p>
      <w:r>
        <w:t>注：根据招标文件要求，若非法人亲自参与投标，必须提供经公证机关公证或加盖单位公章及法定代表人签章的授权委托书原件。本授权书已按相关规定签署并用印，具备法律效力，符合本次投标资格要求。所有复印件均清晰可辨，与原件一致，且在有效期内。如有需要，我方可随时提供公证文本或其他补充证明材料，确保投标程序合规、合法、有效推进。</w:t>
      </w:r>
    </w:p>
    <w:p>
      <w:pPr>
        <w:pStyle w:val="Heading1"/>
      </w:pPr>
      <w:r>
        <w:t>法定代表人身份证复印件</w:t>
      </w:r>
    </w:p>
    <w:p>
      <w:r>
        <w:t>法定代表人身份证复印件</w:t>
      </w:r>
    </w:p>
    <w:p>
      <w:r>
        <w:t>根据招标文件要求，本投标单位现提交法定代表人的有效身份证正反面复印件，并已按要求加盖单位公章，以确保信息的真实性和法律效力。所提供的身份证件为当前有效期内的中华人民共和国居民身份证，未有任何涂改、伪造或过期情况，符合国家相关法律法规及本次招标活动的身份验证标准。</w:t>
      </w:r>
    </w:p>
    <w:p>
      <w:r>
        <w:t>本单位郑重声明：所提交的法定代表人身份信息真实、准确、完整，与工商注册登记信息完全一致，且该法定代表人具备完全民事行为能力，依法履行职责，不存在任何被限制担任企业法定代表人的情形。身份证复印件仅用于本次投标项目的资格审查及相关法律手续办理，不作其他用途。所有提交材料均经过严格核对，确保清晰可辨、内容完整，符合档案管理及电子评标系统的技术要求。</w:t>
      </w:r>
    </w:p>
    <w:p>
      <w:r>
        <w:t>为便于评审专家查阅，现将法定代表人基本信息摘要列示如下：</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rFonts w:ascii="黑体" w:hAnsi="黑体"/>
                <w:b/>
              </w:rPr>
              <w:t>项目</w:t>
            </w:r>
          </w:p>
        </w:tc>
        <w:tc>
          <w:tcPr>
            <w:tcW w:type="dxa" w:w="4317"/>
          </w:tcPr>
          <w:p>
            <w:pPr>
              <w:jc w:val="center"/>
            </w:pPr>
            <w:r>
              <w:rPr>
                <w:rFonts w:ascii="黑体" w:hAnsi="黑体"/>
                <w:b/>
              </w:rPr>
              <w:t>内容</w:t>
            </w:r>
          </w:p>
        </w:tc>
      </w:tr>
      <w:tr>
        <w:tc>
          <w:tcPr>
            <w:tcW w:type="dxa" w:w="4317"/>
          </w:tcPr>
          <w:p>
            <w:pPr>
              <w:jc w:val="center"/>
            </w:pPr>
            <w:r>
              <w:rPr>
                <w:rFonts w:ascii="宋体" w:hAnsi="宋体"/>
              </w:rPr>
              <w:t>姓名</w:t>
            </w:r>
          </w:p>
        </w:tc>
        <w:tc>
          <w:tcPr>
            <w:tcW w:type="dxa" w:w="4317"/>
          </w:tcPr>
          <w:p>
            <w:pPr>
              <w:jc w:val="center"/>
            </w:pPr>
            <w:r>
              <w:rPr>
                <w:rFonts w:ascii="宋体" w:hAnsi="宋体"/>
              </w:rPr>
              <w:t>[法定代表人姓名]</w:t>
            </w:r>
          </w:p>
        </w:tc>
      </w:tr>
      <w:tr>
        <w:tc>
          <w:tcPr>
            <w:tcW w:type="dxa" w:w="4317"/>
          </w:tcPr>
          <w:p>
            <w:pPr>
              <w:jc w:val="center"/>
            </w:pPr>
            <w:r>
              <w:rPr>
                <w:rFonts w:ascii="宋体" w:hAnsi="宋体"/>
              </w:rPr>
              <w:t>性别</w:t>
            </w:r>
          </w:p>
        </w:tc>
        <w:tc>
          <w:tcPr>
            <w:tcW w:type="dxa" w:w="4317"/>
          </w:tcPr>
          <w:p>
            <w:pPr>
              <w:jc w:val="center"/>
            </w:pPr>
            <w:r>
              <w:rPr>
                <w:rFonts w:ascii="宋体" w:hAnsi="宋体"/>
              </w:rPr>
              <w:t>[男/女]</w:t>
            </w:r>
          </w:p>
        </w:tc>
      </w:tr>
      <w:tr>
        <w:tc>
          <w:tcPr>
            <w:tcW w:type="dxa" w:w="4317"/>
          </w:tcPr>
          <w:p>
            <w:pPr>
              <w:jc w:val="center"/>
            </w:pPr>
            <w:r>
              <w:rPr>
                <w:rFonts w:ascii="宋体" w:hAnsi="宋体"/>
              </w:rPr>
              <w:t>民族</w:t>
            </w:r>
          </w:p>
        </w:tc>
        <w:tc>
          <w:tcPr>
            <w:tcW w:type="dxa" w:w="4317"/>
          </w:tcPr>
          <w:p>
            <w:pPr>
              <w:jc w:val="center"/>
            </w:pPr>
            <w:r>
              <w:rPr>
                <w:rFonts w:ascii="宋体" w:hAnsi="宋体"/>
              </w:rPr>
              <w:t>[民族]</w:t>
            </w:r>
          </w:p>
        </w:tc>
      </w:tr>
      <w:tr>
        <w:tc>
          <w:tcPr>
            <w:tcW w:type="dxa" w:w="4317"/>
          </w:tcPr>
          <w:p>
            <w:pPr>
              <w:jc w:val="center"/>
            </w:pPr>
            <w:r>
              <w:rPr>
                <w:rFonts w:ascii="宋体" w:hAnsi="宋体"/>
              </w:rPr>
              <w:t>出生日期</w:t>
            </w:r>
          </w:p>
        </w:tc>
        <w:tc>
          <w:tcPr>
            <w:tcW w:type="dxa" w:w="4317"/>
          </w:tcPr>
          <w:p>
            <w:pPr>
              <w:jc w:val="center"/>
            </w:pPr>
            <w:r>
              <w:rPr>
                <w:rFonts w:ascii="宋体" w:hAnsi="宋体"/>
              </w:rPr>
              <w:t>[YYYY年MM月DD日]</w:t>
            </w:r>
          </w:p>
        </w:tc>
      </w:tr>
      <w:tr>
        <w:tc>
          <w:tcPr>
            <w:tcW w:type="dxa" w:w="4317"/>
          </w:tcPr>
          <w:p>
            <w:pPr>
              <w:jc w:val="center"/>
            </w:pPr>
            <w:r>
              <w:rPr>
                <w:rFonts w:ascii="宋体" w:hAnsi="宋体"/>
              </w:rPr>
              <w:t>住址</w:t>
            </w:r>
          </w:p>
        </w:tc>
        <w:tc>
          <w:tcPr>
            <w:tcW w:type="dxa" w:w="4317"/>
          </w:tcPr>
          <w:p>
            <w:pPr>
              <w:jc w:val="center"/>
            </w:pPr>
            <w:r>
              <w:rPr>
                <w:rFonts w:ascii="宋体" w:hAnsi="宋体"/>
              </w:rPr>
              <w:t>[身份证登记住址]</w:t>
            </w:r>
          </w:p>
        </w:tc>
      </w:tr>
      <w:tr>
        <w:tc>
          <w:tcPr>
            <w:tcW w:type="dxa" w:w="4317"/>
          </w:tcPr>
          <w:p>
            <w:pPr>
              <w:jc w:val="center"/>
            </w:pPr>
            <w:r>
              <w:rPr>
                <w:rFonts w:ascii="宋体" w:hAnsi="宋体"/>
              </w:rPr>
              <w:t>公民身份号码</w:t>
            </w:r>
          </w:p>
        </w:tc>
        <w:tc>
          <w:tcPr>
            <w:tcW w:type="dxa" w:w="4317"/>
          </w:tcPr>
          <w:p>
            <w:pPr>
              <w:jc w:val="center"/>
            </w:pPr>
            <w:r>
              <w:rPr>
                <w:rFonts w:ascii="宋体" w:hAnsi="宋体"/>
              </w:rPr>
              <w:t>[身份证号码]</w:t>
            </w:r>
          </w:p>
        </w:tc>
      </w:tr>
      <w:tr>
        <w:tc>
          <w:tcPr>
            <w:tcW w:type="dxa" w:w="4317"/>
          </w:tcPr>
          <w:p>
            <w:pPr>
              <w:jc w:val="center"/>
            </w:pPr>
            <w:r>
              <w:rPr>
                <w:rFonts w:ascii="宋体" w:hAnsi="宋体"/>
              </w:rPr>
              <w:t>有效期限</w:t>
            </w:r>
          </w:p>
        </w:tc>
        <w:tc>
          <w:tcPr>
            <w:tcW w:type="dxa" w:w="4317"/>
          </w:tcPr>
          <w:p>
            <w:pPr>
              <w:jc w:val="center"/>
            </w:pPr>
            <w:r>
              <w:rPr>
                <w:rFonts w:ascii="宋体" w:hAnsi="宋体"/>
              </w:rPr>
              <w:t>[起始日期] 至 [截止日期]</w:t>
            </w:r>
          </w:p>
        </w:tc>
      </w:tr>
      <w:tr>
        <w:tc>
          <w:tcPr>
            <w:tcW w:type="dxa" w:w="4317"/>
          </w:tcPr>
          <w:p>
            <w:pPr>
              <w:jc w:val="center"/>
            </w:pPr>
            <w:r>
              <w:rPr>
                <w:rFonts w:ascii="宋体" w:hAnsi="宋体"/>
              </w:rPr>
              <w:t>签发机关</w:t>
            </w:r>
          </w:p>
        </w:tc>
        <w:tc>
          <w:tcPr>
            <w:tcW w:type="dxa" w:w="4317"/>
          </w:tcPr>
          <w:p>
            <w:pPr>
              <w:jc w:val="center"/>
            </w:pPr>
            <w:r>
              <w:rPr>
                <w:rFonts w:ascii="宋体" w:hAnsi="宋体"/>
              </w:rPr>
              <w:t>[签发公安机关名称]</w:t>
            </w:r>
          </w:p>
        </w:tc>
      </w:tr>
    </w:tbl>
    <w:p>
      <w:r>
        <w:t>上述信息均来源于公安机关签发的有效身份证件，复印件已逐页加盖本公司公章，并标注“此复印件仅用于[项目名称]投标使用”字样，防止信息滥用。同时，我公司承诺在中标后如需提供原件核查，将积极配合采购方或代理机构完成核验工作。</w:t>
      </w:r>
    </w:p>
    <w:p>
      <w:r>
        <w:t>此外，我公司已建立健全内部档案管理制度，对涉及个人身份信息的资料实行专人保管、专柜存放、加密传输，严格遵守《中华人民共和国个人信息保护法》《中华人民共和国招标投标法》等相关法律规定，切实保障法定代表人及其他相关人员的信息安全与合法权益。</w:t>
      </w:r>
    </w:p>
    <w:p>
      <w:r>
        <w:t>本单位充分认识到提供真实、合法、有效的身份证明材料是参与政府采购活动的基本前提，也是诚信履约的重要体现。若因身份信息不实或材料不符合要求导致资格审查不合格或其他不利后果，愿自行承担相应责任。特此说明并附上法定代表人身份证正反面复印件（见附件），敬请查收审核。</w:t>
      </w:r>
    </w:p>
    <w:p>
      <w:pPr>
        <w:pStyle w:val="Heading1"/>
      </w:pPr>
      <w:r>
        <w:t>授权代表身份证复印件</w:t>
      </w:r>
    </w:p>
    <w:p>
      <w:r>
        <w:t>授权代表身份证复印件</w:t>
      </w:r>
    </w:p>
    <w:p>
      <w:r>
        <w:t>本章节旨在提供我方投标文件中授权代表的有效身份证明材料，以确保本次投标行为的合法性与有效性。根据招标文件要求，现提交被授权人有效身份证正反面复印件，并已按要求加盖公司公章，具体如下：</w:t>
      </w:r>
    </w:p>
    <w:p>
      <w:r>
        <w:t>我方正式授权【授权代表姓名】作为本次投标项目的全权代表，负责与贵单位就本项目进行沟通、谈判、签署相关文件及处理一切与投标相关的事务。该授权行为系我公司真实意思表示，合法有效。为证明其身份真实性，现附上其有效期内的中华人民共和国居民身份证正反面复印件各一份。</w:t>
      </w:r>
    </w:p>
    <w:p>
      <w:r>
        <w:t>上述身份证复印件信息清晰可辨，包含以下关键内容：姓名、性别、民族、出生日期、住址、公民身份号码、签发机关及有效期限等基本信息。所有信息均真实、准确、完整，且在有效期内，符合国家法律法规对身份识别的要求。复印件由我公司指定人员现场核验原件后复印，并在每页复印件上加盖我公司法定名称的红色鲜章，确保“复印件与原件一致”，杜绝任何伪造、变造或使用失效证件的行为。</w:t>
      </w:r>
    </w:p>
    <w:p>
      <w:r>
        <w:t>我公司郑重承诺：所提供的授权代表身份证复印件真实有效，授权行为合法合规，授权代表在授权范围内所实施的一切行为均代表我公司意志，其法律后果由我公司承担。若因授权代表身份信息不实或授权程序瑕疵导致的一切法律责任及经济损失，均由我公司自行承担。</w:t>
      </w:r>
    </w:p>
    <w:p>
      <w:r>
        <w:t>此外，我公司已建立健全的内部管理制度，对授权代表的身份信息严格保密，仅用于本次投标及相关后续履约活动，绝不泄露或用于其他无关用途，充分尊重和保护个人隐私权益。</w:t>
      </w:r>
    </w:p>
    <w:p>
      <w:r>
        <w:t>综上所述，我方已严格按照招标文件要求，完整、规范地提供了授权代表的有效身份证正反面复印件，并履行了加盖公章的程序性义务，完全满足资格审查和形式审查的各项标准。恳请评标委员会予以审核确认。</w:t>
      </w:r>
    </w:p>
    <w:p>
      <w:r>
        <w:t>（以下为身份证复印件粘贴区域，此处预留空间用于打印或粘贴实际身份证正反面复印件，并在每页加盖公司公章）</w:t>
      </w:r>
    </w:p>
    <w:p>
      <w:r>
        <w:t>---</w:t>
      </w:r>
    </w:p>
    <w:p>
      <w:r>
        <w:t>附件：</w:t>
      </w:r>
    </w:p>
    <w:p>
      <w:pPr>
        <w:pStyle w:val="ListNumber"/>
      </w:pPr>
      <w:r>
        <w:t>授权代表身份证正面复印件（加盖公章）</w:t>
      </w:r>
    </w:p>
    <w:p>
      <w:pPr>
        <w:pStyle w:val="ListNumber"/>
      </w:pPr>
      <w:r>
        <w:t>授权代表身份证反面复印件（加盖公章）</w:t>
      </w:r>
    </w:p>
    <w:p>
      <w:r>
        <w:t>注：以上复印件均已由我公司经办人核对无误，确认与原件一致，并按规定位置加盖单位公章，具备法律效力。</w:t>
      </w:r>
    </w:p>
    <w:sectPr w:rsidR="00FC693F" w:rsidRPr="0006063C" w:rsidSect="00034616">
      <w:headerReference w:type="default" r:id="rId9"/>
      <w:footerReference w:type="default" r:id="rId10"/>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PAGE</w:instrText>
      <w:fldChar w:fldCharType="end"/>
    </w:r>
    <w:r>
      <w:t xml:space="preserve"> 页，共 </w:t>
    </w:r>
    <w:r>
      <w:fldChar w:fldCharType="begin"/>
      <w:instrText>NUMPAGES</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磋商文件-无纸化办公会议系统项目投标文件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