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pPr>
        <w:spacing w:after="120"/>
        <w:jc w:val="center"/>
      </w:pPr>
      <w:r>
        <w:rPr>
          <w:rFonts w:ascii="Microsoft YaHei" w:hAnsi="Microsoft YaHei" w:eastAsia="Microsoft YaHei"/>
          <w:b/>
          <w:sz w:val="32"/>
        </w:rPr>
        <w:t>设备运维技术服务 服务方案</w:t>
      </w:r>
    </w:p>
    <w:p>
      <w:pPr>
        <w:spacing w:after="240"/>
        <w:jc w:val="center"/>
      </w:pPr>
      <w:r>
        <w:rPr>
          <w:rFonts w:ascii="Microsoft YaHei" w:hAnsi="Microsoft YaHei" w:eastAsia="Microsoft YaHei"/>
          <w:b w:val="0"/>
          <w:color w:val="444444"/>
          <w:sz w:val="21"/>
        </w:rPr>
        <w:t>投标人：泰和生物医学工程有限公司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一、产品概述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TH-8394S 是 泰和生物医学工程有限公司 面向医疗及专业机构推出的设备运维技术服务，采用模块化设计，可根据用户需求灵活配置。本规格书列出设备的主要技术指标，未列出的项目请联系本公司技术部门确认。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二、技术指标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680"/>
        <w:gridCol w:w="2835"/>
        <w:gridCol w:w="5953"/>
      </w:tblGrid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项目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规格/说明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835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常巡检维护</w:t>
            </w:r>
          </w:p>
        </w:tc>
        <w:tc>
          <w:tcPr>
            <w:tcW w:type="dxa" w:w="595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提供设备运行巡检服务，定期至少对设备运行状态、设备及外设的损耗情况、操作人员的操作规范性、故障和安全隐患内容进行现场巡检，提出优化及改进建议，并向采购人提供巡检维护记录。</w:t>
            </w:r>
          </w:p>
        </w:tc>
      </w:tr>
    </w:tbl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三、标准配置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主机 1 台；操作手册、合格证、保修卡各 1 份；标准耗材起始包 1 套。</w:t>
      </w:r>
    </w:p>
    <w:p>
      <w:pPr>
        <w:spacing w:after="120"/>
      </w:pPr>
      <w:r>
        <w:rPr>
          <w:rFonts w:ascii="Microsoft YaHei" w:hAnsi="Microsoft YaHei" w:eastAsia="Microsoft YaHei"/>
          <w:b/>
          <w:sz w:val="24"/>
        </w:rPr>
        <w:t>四、使用环境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环境温度 5℃~40℃；相对湿度 ≤80%；大气压力 70kPa~106kPa。</w:t>
      </w:r>
    </w:p>
    <w:sectPr w:rsidR="00D7255A" w:rsidRPr="003626E4"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