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 Data / Networking &amp; Security Technologies - Regulatory Intelligence Briefing</w:t>
      </w:r>
    </w:p>
    <w:p>
      <w:pPr>
        <w:jc w:val="center"/>
      </w:pPr>
      <w:r>
        <w:rPr>
          <w:i/>
        </w:rPr>
        <w:t>Generated: 2026-05-20 15:53</w:t>
      </w:r>
    </w:p>
    <w:p>
      <w:r>
        <w:t>Articles Reviewed: 1</w:t>
      </w:r>
    </w:p>
    <w:p/>
    <w:p>
      <w:pPr>
        <w:pStyle w:val="Heading1"/>
      </w:pPr>
      <w:r>
        <w:t>1. CELEX:32026D1076: Council Decision (EU) 2026/1076 of 5 May 2026 on the conclusion, on behalf of the Union, of the Agreement in the form of an Exchange of Letters between the European Union and the People’s Republic of China pursuant to Article XXVIII of the General Agreement on Tariffs and Trade (GATT) 1994 relating to the modification of concessions on all the tariff rate quotas included in the EU Schedule CLXXV as a consequence of the United Kingdom’s withdrawal from the European Union</w:t>
      </w:r>
    </w:p>
    <w:p>
      <w:r>
        <w:rPr>
          <w:b/>
        </w:rPr>
        <w:t xml:space="preserve">URL: </w:t>
      </w:r>
      <w:r>
        <w:t>https://eur-lex.europa.eu/legal-content/AUTO/?uri=CELEX:32026D1076</w:t>
      </w:r>
      <w:r>
        <w:br/>
      </w:r>
      <w:r>
        <w:rPr>
          <w:b/>
        </w:rPr>
        <w:t xml:space="preserve">Published: </w:t>
      </w:r>
      <w:r>
        <w:t>2026-05-17</w:t>
      </w:r>
      <w:r>
        <w:br/>
      </w:r>
      <w:r>
        <w:rPr>
          <w:b/>
        </w:rPr>
        <w:t xml:space="preserve">Relevance Score: </w:t>
      </w:r>
      <w:r>
        <w:t>6/10</w:t>
      </w:r>
      <w:r>
        <w:br/>
      </w:r>
      <w:r>
        <w:rPr>
          <w:b/>
        </w:rPr>
        <w:t xml:space="preserve">Action Needed: </w:t>
      </w:r>
      <w:r>
        <w:t>review</w:t>
      </w:r>
    </w:p>
    <w:p>
      <w:pPr>
        <w:pStyle w:val="Heading2"/>
      </w:pPr>
      <w:r>
        <w:t>Summary</w:t>
      </w:r>
    </w:p>
    <w:p>
      <w:r>
        <w:t>Summary for executive briefing</w:t>
        <w:br/>
        <w:br/>
        <w:t>- What changed</w:t>
        <w:br/>
        <w:t xml:space="preserve">  - The EU Council adopted Decision 2026/1076 to conclude, on behalf of the Union, an Agreement with China (in the form of an Exchange of Letters) under GATT 1994 Article XXVIII. The purpose is to modify the concessions on all tariff-rate quotas (TRQs) contained in EU Schedule CLXXV. The modification is a consequence of the United Kingdom’s withdrawal from the EU, i.e., Brexit.</w:t>
        <w:br/>
        <w:t xml:space="preserve">  - This is a binding adjustment to the EU-China tariff concession regime, implemented through the exchange of letters and formalized in EU law and the Official Journal.</w:t>
        <w:br/>
        <w:br/>
        <w:t>- Who is affected</w:t>
        <w:br/>
        <w:t xml:space="preserve">  - Industries and business areas involved in EU Schedule CLXXV TRQs, primarily agricultural and agri-food sectors that rely on tariff-rate quotas for imports from China.</w:t>
        <w:br/>
        <w:t xml:space="preserve">  - Importers, exporters, customs brokers, and supply chains dealing with TRQ goods from China, who will be subject to updated quota allocations and concession levels.</w:t>
        <w:br/>
        <w:br/>
        <w:t>- Actions and timing</w:t>
        <w:br/>
        <w:t xml:space="preserve">  - Action required: relevant firms should review the updated TRQ concessions for Schedule CLXXV to understand revised quota volumes, tariff levels, and licensing requirements; adjust procurement, pricing, and compliance processes accordingly.</w:t>
        <w:br/>
        <w:t xml:space="preserve">  - Timing: the decision was published 17 May 2026 (OJ reference 2026/1076). Exact effective dates for the modified concessions will be defined in the EU Official Journal implementation and subsequent guidance; plan to align operations with the EU’s TRQ administration and notifications to market participants.</w:t>
        <w:br/>
        <w:br/>
        <w:t>- Potential business impact</w:t>
        <w:br/>
        <w:t xml:space="preserve">  - Possible changes to import costs and access for CH-origin TRQ products into the EU, depending on revised quota allocations.</w:t>
        <w:br/>
        <w:t xml:space="preserve">  - Could affect sourcing strategies, pricing, and inventory planning for agricultural products governed by Schedule CLXXV.</w:t>
        <w:br/>
        <w:t xml:space="preserve">  - Firms should monitor EU authorities for detailed schedules and transition provisions to mitigate disruption and adjust contractual terms with suppliers and customers accordingly.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